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21F49A" w14:textId="1B95CDFC" w:rsidR="00167FE9" w:rsidRPr="0016785C" w:rsidRDefault="00167FE9" w:rsidP="0016785C">
      <w:pPr>
        <w:pStyle w:val="En-tte"/>
        <w:tabs>
          <w:tab w:val="clear" w:pos="4536"/>
          <w:tab w:val="clear" w:pos="9072"/>
        </w:tabs>
        <w:spacing w:after="160" w:line="259" w:lineRule="auto"/>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777777"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CAHIER DES CLAUSES ADMINISTRATIVES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16B6CDFF" w14:textId="27A791B3" w:rsidR="000D23B1" w:rsidRDefault="000D23B1" w:rsidP="00122915">
      <w:pPr>
        <w:pStyle w:val="Corpsdetexte3"/>
      </w:pPr>
      <w:r w:rsidRPr="00122915">
        <w:t xml:space="preserve">Accord-cadre de </w:t>
      </w:r>
      <w:r w:rsidR="00063209">
        <w:t>fabrication</w:t>
      </w:r>
      <w:r w:rsidRPr="00122915">
        <w:t xml:space="preserve"> de dispositifs de médiation </w:t>
      </w:r>
      <w:r w:rsidR="0054328C">
        <w:t>pour</w:t>
      </w:r>
      <w:r w:rsidRPr="00122915">
        <w:t xml:space="preserve"> l’Etablissement public du Musée d’Orsay et du Musée de l’Orangerie</w:t>
      </w:r>
    </w:p>
    <w:p w14:paraId="5D0B5579" w14:textId="5F1FE2BB" w:rsidR="0030192B" w:rsidRPr="00122915" w:rsidRDefault="0030192B" w:rsidP="00122915">
      <w:pPr>
        <w:pStyle w:val="Corpsdetexte3"/>
      </w:pPr>
      <w:r>
        <w:t>N°2025-</w:t>
      </w:r>
      <w:r w:rsidR="007F5514">
        <w:t>734 à 736</w:t>
      </w:r>
    </w:p>
    <w:p w14:paraId="0F3D9944"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0E4E780"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6F92DAC" w14:textId="43023816" w:rsidR="00E42FF3" w:rsidRPr="00546FE0" w:rsidRDefault="00E42FF3" w:rsidP="00E42FF3">
      <w:pPr>
        <w:rPr>
          <w:rFonts w:ascii="Arial Narrow" w:hAnsi="Arial Narrow"/>
        </w:rPr>
      </w:pPr>
    </w:p>
    <w:p w14:paraId="505A12A6" w14:textId="77777777" w:rsidR="00E42FF3" w:rsidRPr="00546FE0" w:rsidRDefault="00E42FF3" w:rsidP="00E42FF3">
      <w:pPr>
        <w:pStyle w:val="En-tte"/>
        <w:tabs>
          <w:tab w:val="clear" w:pos="4536"/>
          <w:tab w:val="clear" w:pos="9072"/>
        </w:tabs>
        <w:spacing w:after="160" w:line="259" w:lineRule="auto"/>
        <w:rPr>
          <w:rFonts w:ascii="Arial Narrow" w:hAnsi="Arial Narrow"/>
          <w:sz w:val="24"/>
          <w:szCs w:val="24"/>
        </w:rPr>
      </w:pPr>
    </w:p>
    <w:p w14:paraId="2A8A4B30" w14:textId="77777777"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0FEE9441"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value="Choisissez un élément"/>
                  <w:listItem w:displayText="Services" w:value="Services"/>
                  <w:listItem w:displayText="Travaux" w:value="Travaux"/>
                  <w:listItem w:displayText="Fournitures" w:value="Fournitures"/>
                </w:comboBox>
              </w:sdtPr>
              <w:sdtEndPr/>
              <w:sdtContent>
                <w:r w:rsidR="00D643AF">
                  <w:rPr>
                    <w:rFonts w:ascii="Arial Narrow" w:hAnsi="Arial Narrow"/>
                    <w:sz w:val="22"/>
                    <w:szCs w:val="22"/>
                  </w:rPr>
                  <w:t>Services</w:t>
                </w:r>
              </w:sdtContent>
            </w:sdt>
          </w:p>
          <w:p w14:paraId="4CA1EB62" w14:textId="30775DA6" w:rsidR="0081396B" w:rsidRPr="00546FE0" w:rsidRDefault="000D23B1" w:rsidP="00E42FF3">
            <w:pPr>
              <w:tabs>
                <w:tab w:val="left" w:pos="5880"/>
              </w:tabs>
              <w:spacing w:after="120"/>
              <w:rPr>
                <w:rFonts w:ascii="Arial Narrow" w:hAnsi="Arial Narrow"/>
              </w:rPr>
            </w:pPr>
            <w:r>
              <w:rPr>
                <w:rFonts w:ascii="Arial Narrow" w:hAnsi="Arial Narrow"/>
              </w:rPr>
              <w:t>Application du CCAG-FCS</w:t>
            </w:r>
          </w:p>
          <w:p w14:paraId="7ACFE896" w14:textId="71BE5B58"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D643AF">
                  <w:rPr>
                    <w:rFonts w:ascii="Arial Narrow" w:hAnsi="Arial Narrow"/>
                  </w:rPr>
                  <w:t>- Procédure adaptée ouverte en application des dispositions des articles L. 2123-1 et R. 2123-1 à R. 2123-7 du code de la commande publique</w:t>
                </w:r>
              </w:sdtContent>
            </w:sdt>
          </w:p>
          <w:p w14:paraId="151AC878" w14:textId="78CF3FE9"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value="Choisissez un élément"/>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D643AF">
                  <w:rPr>
                    <w:rFonts w:ascii="Arial Narrow" w:hAnsi="Arial Narrow"/>
                  </w:rPr>
                  <w:t xml:space="preserve">- Accord-cadre </w:t>
                </w:r>
                <w:proofErr w:type="spellStart"/>
                <w:r w:rsidR="00D643AF">
                  <w:rPr>
                    <w:rFonts w:ascii="Arial Narrow" w:hAnsi="Arial Narrow"/>
                  </w:rPr>
                  <w:t>multi-attributaires</w:t>
                </w:r>
                <w:proofErr w:type="spellEnd"/>
                <w:r w:rsidR="00D643AF">
                  <w:rPr>
                    <w:rFonts w:ascii="Arial Narrow" w:hAnsi="Arial Narrow"/>
                  </w:rPr>
                  <w:t xml:space="preserve"> donnant lieu à la conclusion de marchés subséquents en application du 1° de l’article L. 2125-1 et des articles des articles R. 2162-1 à R. 2162 12 du code de la commande publique. </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5BDB0B97" w14:textId="6EAC7276" w:rsidR="000D0217" w:rsidRPr="00546FE0" w:rsidRDefault="000D0217" w:rsidP="00247EE3">
      <w:pPr>
        <w:pStyle w:val="En-tte"/>
        <w:numPr>
          <w:ilvl w:val="0"/>
          <w:numId w:val="4"/>
        </w:numPr>
        <w:tabs>
          <w:tab w:val="clear" w:pos="4536"/>
          <w:tab w:val="clear" w:pos="9072"/>
        </w:tabs>
        <w:spacing w:after="120" w:line="360" w:lineRule="auto"/>
        <w:ind w:left="567" w:hanging="643"/>
        <w:jc w:val="both"/>
        <w:rPr>
          <w:rFonts w:ascii="Arial Narrow" w:hAnsi="Arial Narrow"/>
          <w:b/>
        </w:rPr>
      </w:pPr>
      <w:r w:rsidRPr="00546FE0">
        <w:rPr>
          <w:rFonts w:ascii="Arial Narrow" w:hAnsi="Arial Narrow"/>
          <w:b/>
        </w:rPr>
        <w:t>Présentation de l’</w:t>
      </w:r>
      <w:r w:rsidR="00590216">
        <w:rPr>
          <w:rFonts w:ascii="Arial Narrow" w:hAnsi="Arial Narrow"/>
          <w:b/>
        </w:rPr>
        <w:t>EPMO-VGE</w:t>
      </w:r>
      <w:r w:rsidRPr="00546FE0">
        <w:rPr>
          <w:rFonts w:ascii="Arial Narrow" w:hAnsi="Arial Narrow"/>
          <w:b/>
        </w:rPr>
        <w:t xml:space="preserve"> et ses missions</w:t>
      </w:r>
    </w:p>
    <w:p w14:paraId="480436E4" w14:textId="29C4A188" w:rsidR="00C8474A" w:rsidRDefault="00C8474A" w:rsidP="00C8474A">
      <w:pPr>
        <w:pStyle w:val="En-tte"/>
        <w:spacing w:after="120" w:line="360" w:lineRule="auto"/>
        <w:jc w:val="both"/>
        <w:rPr>
          <w:rFonts w:ascii="Arial Narrow" w:hAnsi="Arial Narrow"/>
        </w:rPr>
      </w:pPr>
      <w:r w:rsidRPr="00051B99">
        <w:rPr>
          <w:rFonts w:ascii="Arial Narrow" w:hAnsi="Arial Narrow"/>
        </w:rPr>
        <w:t>L’Etablissement public du musée d’Orsay et du musée de l’Orangerie – Va</w:t>
      </w:r>
      <w:r>
        <w:rPr>
          <w:rFonts w:ascii="Arial Narrow" w:hAnsi="Arial Narrow"/>
        </w:rPr>
        <w:t>léry Giscard d’Estaing (</w:t>
      </w:r>
      <w:r w:rsidR="00590216">
        <w:rPr>
          <w:rFonts w:ascii="Arial Narrow" w:hAnsi="Arial Narrow"/>
        </w:rPr>
        <w:t>EPMO-VGE</w:t>
      </w:r>
      <w:r w:rsidRPr="00051B99">
        <w:rPr>
          <w:rFonts w:ascii="Arial Narrow" w:hAnsi="Arial Narrow"/>
        </w:rPr>
        <w:t>), établissement public national à caractère administrat</w:t>
      </w:r>
      <w:r w:rsidR="00EE41D9">
        <w:rPr>
          <w:rFonts w:ascii="Arial Narrow" w:hAnsi="Arial Narrow"/>
        </w:rPr>
        <w:t>if, a été créé par un décret n°2003-</w:t>
      </w:r>
      <w:r w:rsidRPr="00051B99">
        <w:rPr>
          <w:rFonts w:ascii="Arial Narrow" w:hAnsi="Arial Narrow"/>
        </w:rPr>
        <w:t>1300 du 26 décembre 2003. Depuis 2010, il regroupe le musée d’Orsay et le musée de l’Orangerie (décret n° 2010-558 du 27 mai 2010).</w:t>
      </w:r>
    </w:p>
    <w:p w14:paraId="6EEF9657" w14:textId="200139E8" w:rsidR="0016785C" w:rsidRPr="00546FE0" w:rsidRDefault="00C8474A" w:rsidP="00912557">
      <w:pPr>
        <w:pStyle w:val="En-tte"/>
        <w:tabs>
          <w:tab w:val="clear" w:pos="4536"/>
          <w:tab w:val="clear" w:pos="9072"/>
        </w:tabs>
        <w:spacing w:after="120" w:line="360" w:lineRule="auto"/>
        <w:jc w:val="both"/>
        <w:rPr>
          <w:rFonts w:ascii="Arial Narrow" w:hAnsi="Arial Narrow"/>
        </w:rPr>
      </w:pPr>
      <w:r w:rsidRPr="00C8474A">
        <w:rPr>
          <w:rFonts w:ascii="Arial Narrow" w:hAnsi="Arial Narrow"/>
        </w:rPr>
        <w:t>Depuis l’achat du billet en passant par l’information des visiteurs sur les conditions de visite ou la conception de dispositifs de médiation favorisant la découverte des œuvres, la Direction des publics</w:t>
      </w:r>
      <w:r>
        <w:rPr>
          <w:rFonts w:ascii="Arial Narrow" w:hAnsi="Arial Narrow"/>
        </w:rPr>
        <w:t xml:space="preserve"> de l’</w:t>
      </w:r>
      <w:r w:rsidR="00590216">
        <w:rPr>
          <w:rFonts w:ascii="Arial Narrow" w:hAnsi="Arial Narrow"/>
        </w:rPr>
        <w:t>EPMO-VGE</w:t>
      </w:r>
      <w:r w:rsidRPr="00C8474A">
        <w:rPr>
          <w:rFonts w:ascii="Arial Narrow" w:hAnsi="Arial Narrow"/>
        </w:rPr>
        <w:t xml:space="preserve"> a pour vocation d’offrir le meilleur accueil à tous les visiteurs quels que soient leur origine géographique, leur âge, leur bagage culturel ou leurs besoins en termes d’accessibilité. Dans un souci de démocratisation culturelle et de développement des publics, elle porte une attention particulière au jeune public venant dans le cadre scolaire ou familial ainsi qu’aux visiteurs relevant du champ social ou en situation de handicap.</w:t>
      </w:r>
    </w:p>
    <w:p w14:paraId="483EEED8" w14:textId="10180E31" w:rsidR="000D0217" w:rsidRPr="00546FE0" w:rsidRDefault="00247EE3" w:rsidP="00247EE3">
      <w:pPr>
        <w:pStyle w:val="En-tte"/>
        <w:numPr>
          <w:ilvl w:val="0"/>
          <w:numId w:val="4"/>
        </w:numPr>
        <w:tabs>
          <w:tab w:val="clear" w:pos="4536"/>
          <w:tab w:val="clear" w:pos="9072"/>
        </w:tabs>
        <w:spacing w:after="120" w:line="360" w:lineRule="auto"/>
        <w:ind w:left="567" w:hanging="643"/>
        <w:jc w:val="both"/>
        <w:rPr>
          <w:rFonts w:ascii="Arial Narrow" w:hAnsi="Arial Narrow"/>
          <w:b/>
        </w:rPr>
      </w:pPr>
      <w:r>
        <w:rPr>
          <w:rFonts w:ascii="Arial Narrow" w:hAnsi="Arial Narrow"/>
          <w:b/>
        </w:rPr>
        <w:t>Présentation de l’accord-cadre</w:t>
      </w:r>
    </w:p>
    <w:p w14:paraId="315DA624" w14:textId="17334DF2" w:rsidR="000D0217" w:rsidRDefault="00247EE3" w:rsidP="00247EE3">
      <w:pPr>
        <w:pStyle w:val="En-tte"/>
        <w:tabs>
          <w:tab w:val="clear" w:pos="4536"/>
          <w:tab w:val="clear" w:pos="9072"/>
        </w:tabs>
        <w:spacing w:after="120" w:line="360" w:lineRule="auto"/>
        <w:jc w:val="both"/>
        <w:rPr>
          <w:rFonts w:ascii="Arial Narrow" w:hAnsi="Arial Narrow"/>
        </w:rPr>
      </w:pPr>
      <w:r>
        <w:rPr>
          <w:rFonts w:ascii="Arial Narrow" w:hAnsi="Arial Narrow"/>
        </w:rPr>
        <w:t>L’accord-cadre</w:t>
      </w:r>
      <w:r w:rsidR="00C8474A">
        <w:rPr>
          <w:rFonts w:ascii="Arial Narrow" w:hAnsi="Arial Narrow"/>
        </w:rPr>
        <w:t xml:space="preserve"> a pour objet la </w:t>
      </w:r>
      <w:r w:rsidR="001D7A97">
        <w:rPr>
          <w:rFonts w:ascii="Arial Narrow" w:hAnsi="Arial Narrow"/>
        </w:rPr>
        <w:t>fabrication</w:t>
      </w:r>
      <w:r w:rsidR="00C8474A">
        <w:rPr>
          <w:rFonts w:ascii="Arial Narrow" w:hAnsi="Arial Narrow"/>
        </w:rPr>
        <w:t xml:space="preserve"> de dispositifs de médiation pour l’Etablissement public des musées d’Orsay et de l’Orangerie. </w:t>
      </w:r>
      <w:r w:rsidR="0016785C">
        <w:rPr>
          <w:rFonts w:ascii="Arial Narrow" w:hAnsi="Arial Narrow"/>
        </w:rPr>
        <w:t>Ces dispositifs auront vocation à être utilisés au sein des collections permanentes et des expositions temporaires de l’</w:t>
      </w:r>
      <w:r w:rsidR="00590216">
        <w:rPr>
          <w:rFonts w:ascii="Arial Narrow" w:hAnsi="Arial Narrow"/>
        </w:rPr>
        <w:t>EPMO-VGE</w:t>
      </w:r>
      <w:r w:rsidR="0016785C">
        <w:rPr>
          <w:rFonts w:ascii="Arial Narrow" w:hAnsi="Arial Narrow"/>
        </w:rPr>
        <w:t>, au sein de l’espace familles du musée de l’Orangerie, dans le cadre des opérations « Vacances à Orsay », et dans le cadre des actions hors-les-murs de l’</w:t>
      </w:r>
      <w:r w:rsidR="00590216">
        <w:rPr>
          <w:rFonts w:ascii="Arial Narrow" w:hAnsi="Arial Narrow"/>
        </w:rPr>
        <w:t>EPMO-VGE</w:t>
      </w:r>
      <w:r w:rsidR="0016785C">
        <w:rPr>
          <w:rFonts w:ascii="Arial Narrow" w:hAnsi="Arial Narrow"/>
        </w:rPr>
        <w:t xml:space="preserve"> (dans les établissements scolaires, hospitaliers etc.).</w:t>
      </w:r>
    </w:p>
    <w:p w14:paraId="70BB8C77" w14:textId="15F7B35A" w:rsidR="0006022E" w:rsidRDefault="00247EE3" w:rsidP="007221BF">
      <w:pPr>
        <w:pStyle w:val="En-tte"/>
        <w:tabs>
          <w:tab w:val="clear" w:pos="4536"/>
          <w:tab w:val="clear" w:pos="9072"/>
        </w:tabs>
        <w:spacing w:after="120" w:line="360" w:lineRule="auto"/>
        <w:jc w:val="both"/>
        <w:rPr>
          <w:rFonts w:ascii="Arial Narrow" w:hAnsi="Arial Narrow"/>
          <w:color w:val="000000" w:themeColor="text1"/>
        </w:rPr>
      </w:pPr>
      <w:r w:rsidRPr="00D03D39">
        <w:rPr>
          <w:rFonts w:ascii="Arial Narrow" w:hAnsi="Arial Narrow"/>
          <w:color w:val="000000" w:themeColor="text1"/>
        </w:rPr>
        <w:t xml:space="preserve">L’accord cadre </w:t>
      </w:r>
      <w:r w:rsidR="00171B00">
        <w:rPr>
          <w:rFonts w:ascii="Arial Narrow" w:hAnsi="Arial Narrow"/>
          <w:color w:val="000000" w:themeColor="text1"/>
        </w:rPr>
        <w:t>comportera des marchés subséquents</w:t>
      </w:r>
      <w:r w:rsidRPr="00D03D39">
        <w:rPr>
          <w:rFonts w:ascii="Arial Narrow" w:hAnsi="Arial Narrow"/>
          <w:color w:val="000000" w:themeColor="text1"/>
        </w:rPr>
        <w:t xml:space="preserve"> conclu</w:t>
      </w:r>
      <w:r w:rsidR="00171B00">
        <w:rPr>
          <w:rFonts w:ascii="Arial Narrow" w:hAnsi="Arial Narrow"/>
          <w:color w:val="000000" w:themeColor="text1"/>
        </w:rPr>
        <w:t>s</w:t>
      </w:r>
      <w:r w:rsidRPr="00D03D39">
        <w:rPr>
          <w:rFonts w:ascii="Arial Narrow" w:hAnsi="Arial Narrow"/>
          <w:color w:val="000000" w:themeColor="text1"/>
        </w:rPr>
        <w:t xml:space="preserve"> à prix unitaires</w:t>
      </w:r>
      <w:r w:rsidR="00171B00">
        <w:rPr>
          <w:rFonts w:ascii="Arial Narrow" w:hAnsi="Arial Narrow"/>
          <w:color w:val="000000" w:themeColor="text1"/>
        </w:rPr>
        <w:t xml:space="preserve"> et/ou </w:t>
      </w:r>
      <w:r>
        <w:rPr>
          <w:rFonts w:ascii="Arial Narrow" w:hAnsi="Arial Narrow"/>
          <w:color w:val="000000" w:themeColor="text1"/>
        </w:rPr>
        <w:t>forfaitaires. Il</w:t>
      </w:r>
      <w:r w:rsidRPr="00D03D39">
        <w:rPr>
          <w:rFonts w:ascii="Arial Narrow" w:hAnsi="Arial Narrow"/>
          <w:color w:val="000000" w:themeColor="text1"/>
        </w:rPr>
        <w:t xml:space="preserve"> est </w:t>
      </w:r>
      <w:r w:rsidR="001D7A97" w:rsidRPr="00D03D39">
        <w:rPr>
          <w:rFonts w:ascii="Arial Narrow" w:hAnsi="Arial Narrow"/>
          <w:color w:val="000000" w:themeColor="text1"/>
        </w:rPr>
        <w:t>multiattributaires</w:t>
      </w:r>
      <w:r w:rsidR="001D7A97">
        <w:rPr>
          <w:rFonts w:ascii="Arial Narrow" w:hAnsi="Arial Narrow"/>
          <w:color w:val="000000" w:themeColor="text1"/>
        </w:rPr>
        <w:t xml:space="preserve"> et</w:t>
      </w:r>
      <w:r w:rsidRPr="00D03D39">
        <w:rPr>
          <w:rFonts w:ascii="Arial Narrow" w:hAnsi="Arial Narrow"/>
          <w:color w:val="000000" w:themeColor="text1"/>
        </w:rPr>
        <w:t xml:space="preserve"> </w:t>
      </w:r>
      <w:r w:rsidR="00590216">
        <w:rPr>
          <w:rFonts w:ascii="Arial Narrow" w:hAnsi="Arial Narrow"/>
          <w:color w:val="000000" w:themeColor="text1"/>
        </w:rPr>
        <w:t>est</w:t>
      </w:r>
      <w:r w:rsidRPr="00D03D39">
        <w:rPr>
          <w:rFonts w:ascii="Arial Narrow" w:hAnsi="Arial Narrow"/>
          <w:color w:val="000000" w:themeColor="text1"/>
        </w:rPr>
        <w:t xml:space="preserve"> conclu avec </w:t>
      </w:r>
      <w:r w:rsidR="00EE41D9">
        <w:rPr>
          <w:rFonts w:ascii="Arial Narrow" w:hAnsi="Arial Narrow"/>
          <w:color w:val="000000" w:themeColor="text1"/>
        </w:rPr>
        <w:t xml:space="preserve">les </w:t>
      </w:r>
      <w:r w:rsidRPr="000D6D69">
        <w:rPr>
          <w:rFonts w:ascii="Arial Narrow" w:hAnsi="Arial Narrow"/>
        </w:rPr>
        <w:t>3</w:t>
      </w:r>
      <w:r>
        <w:rPr>
          <w:rFonts w:ascii="Arial Narrow" w:hAnsi="Arial Narrow"/>
          <w:color w:val="4472C4" w:themeColor="accent5"/>
        </w:rPr>
        <w:t xml:space="preserve"> </w:t>
      </w:r>
      <w:r w:rsidRPr="00D03D39">
        <w:rPr>
          <w:rFonts w:ascii="Arial Narrow" w:hAnsi="Arial Narrow"/>
          <w:color w:val="000000" w:themeColor="text1"/>
        </w:rPr>
        <w:t>candidats ayant obtenu les meilleures notes globales, si le nombre de candidats ayant remis une offre recevable le permet</w:t>
      </w:r>
      <w:r w:rsidR="007D6487">
        <w:rPr>
          <w:rFonts w:ascii="Arial Narrow" w:hAnsi="Arial Narrow"/>
          <w:color w:val="000000" w:themeColor="text1"/>
        </w:rPr>
        <w:t xml:space="preserve">. </w:t>
      </w:r>
      <w:r w:rsidRPr="00D03D39">
        <w:rPr>
          <w:rFonts w:ascii="Arial Narrow" w:hAnsi="Arial Narrow"/>
          <w:color w:val="000000" w:themeColor="text1"/>
        </w:rPr>
        <w:t>Il est exécuté par marchés subséquents au sens de l’article R 2162-3 du Code de la commande publique.</w:t>
      </w:r>
      <w:r>
        <w:rPr>
          <w:rFonts w:ascii="Arial Narrow" w:hAnsi="Arial Narrow"/>
          <w:color w:val="000000" w:themeColor="text1"/>
        </w:rPr>
        <w:t xml:space="preserve"> </w:t>
      </w:r>
    </w:p>
    <w:p w14:paraId="222E0859" w14:textId="77777777" w:rsidR="00247EE3" w:rsidRPr="00546FE0" w:rsidRDefault="00247EE3" w:rsidP="007221BF">
      <w:pPr>
        <w:pStyle w:val="En-tte"/>
        <w:tabs>
          <w:tab w:val="clear" w:pos="4536"/>
          <w:tab w:val="clear" w:pos="9072"/>
        </w:tabs>
        <w:spacing w:after="120" w:line="360" w:lineRule="auto"/>
        <w:jc w:val="both"/>
        <w:rPr>
          <w:rFonts w:ascii="Arial Narrow" w:hAnsi="Arial Narrow"/>
        </w:rPr>
      </w:pP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0390EFBA" w14:textId="77777777" w:rsidR="0006022E" w:rsidRPr="00546FE0" w:rsidRDefault="0006022E" w:rsidP="00245388">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Prestations relevant des marchés subséquents</w:t>
      </w:r>
    </w:p>
    <w:p w14:paraId="6A496106" w14:textId="6401016B" w:rsidR="0006022E" w:rsidRPr="00546FE0" w:rsidRDefault="0006022E" w:rsidP="0006022E">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Les marchés subséquents porteront sur les prestations suivantes :</w:t>
      </w:r>
      <w:r w:rsidR="0016785C">
        <w:rPr>
          <w:rFonts w:ascii="Arial Narrow" w:hAnsi="Arial Narrow"/>
        </w:rPr>
        <w:t xml:space="preserve"> fabrication de dispositifs de médiation variés</w:t>
      </w:r>
      <w:r w:rsidR="00EE1C2C">
        <w:rPr>
          <w:rFonts w:ascii="Arial Narrow" w:hAnsi="Arial Narrow"/>
        </w:rPr>
        <w:t xml:space="preserve">, livraison, installation </w:t>
      </w:r>
      <w:r w:rsidR="00EE1C2C" w:rsidRPr="00C17976">
        <w:rPr>
          <w:rFonts w:ascii="Arial Narrow" w:hAnsi="Arial Narrow"/>
        </w:rPr>
        <w:t>et entretien</w:t>
      </w:r>
      <w:r w:rsidR="0016785C" w:rsidRPr="00C17976">
        <w:rPr>
          <w:rFonts w:ascii="Arial Narrow" w:hAnsi="Arial Narrow"/>
        </w:rPr>
        <w:t>.</w:t>
      </w:r>
      <w:r w:rsidR="0016785C">
        <w:rPr>
          <w:rFonts w:ascii="Arial Narrow" w:hAnsi="Arial Narrow"/>
        </w:rPr>
        <w:t xml:space="preserve"> </w:t>
      </w:r>
    </w:p>
    <w:p w14:paraId="1C1C14B3" w14:textId="77777777" w:rsidR="0006022E" w:rsidRPr="00546FE0" w:rsidRDefault="0006022E" w:rsidP="00245388">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Clause de non exclusivité</w:t>
      </w:r>
    </w:p>
    <w:p w14:paraId="7C52D19E" w14:textId="6E2608DE" w:rsidR="009D63CC" w:rsidRPr="00546FE0" w:rsidRDefault="0006022E" w:rsidP="0006022E">
      <w:pPr>
        <w:pStyle w:val="Sansinterligne"/>
        <w:spacing w:line="360" w:lineRule="auto"/>
        <w:jc w:val="both"/>
        <w:rPr>
          <w:rFonts w:ascii="Arial Narrow" w:eastAsiaTheme="minorHAnsi" w:hAnsi="Arial Narrow" w:cstheme="minorBidi"/>
          <w:i/>
          <w:color w:val="ED7D31" w:themeColor="accent2"/>
          <w:lang w:eastAsia="en-US"/>
        </w:rPr>
      </w:pPr>
      <w:r w:rsidRPr="00546FE0">
        <w:rPr>
          <w:rFonts w:ascii="Arial Narrow" w:eastAsiaTheme="minorHAnsi" w:hAnsi="Arial Narrow" w:cstheme="minorBidi"/>
          <w:lang w:eastAsia="en-US"/>
        </w:rPr>
        <w:t>L’accord-cadre est non exclusif, l’</w:t>
      </w:r>
      <w:r w:rsidR="00590216">
        <w:rPr>
          <w:rFonts w:ascii="Arial Narrow" w:eastAsiaTheme="minorHAnsi" w:hAnsi="Arial Narrow" w:cstheme="minorBidi"/>
          <w:lang w:eastAsia="en-US"/>
        </w:rPr>
        <w:t>EPMO-VGE</w:t>
      </w:r>
      <w:r w:rsidRPr="00546FE0">
        <w:rPr>
          <w:rFonts w:ascii="Arial Narrow" w:eastAsiaTheme="minorHAnsi" w:hAnsi="Arial Narrow" w:cstheme="minorBidi"/>
          <w:lang w:eastAsia="en-US"/>
        </w:rPr>
        <w:t xml:space="preserve"> se réservant la possibilité de s’adresser à un prestataire extérieur dans les hypothèses alternatives suivantes :</w:t>
      </w:r>
      <w:r w:rsidR="009D63CC" w:rsidRPr="00546FE0">
        <w:rPr>
          <w:rFonts w:ascii="Arial Narrow" w:eastAsiaTheme="minorHAnsi" w:hAnsi="Arial Narrow" w:cstheme="minorBidi"/>
          <w:lang w:eastAsia="en-US"/>
        </w:rPr>
        <w:t xml:space="preserve"> </w:t>
      </w:r>
    </w:p>
    <w:p w14:paraId="19B714D9" w14:textId="77777777" w:rsidR="0006022E" w:rsidRPr="000D23B1" w:rsidRDefault="0006022E" w:rsidP="000D23B1">
      <w:pPr>
        <w:pStyle w:val="Sansinterligne"/>
        <w:numPr>
          <w:ilvl w:val="0"/>
          <w:numId w:val="21"/>
        </w:numPr>
        <w:spacing w:line="360" w:lineRule="auto"/>
        <w:jc w:val="both"/>
        <w:rPr>
          <w:rFonts w:ascii="Arial Narrow" w:eastAsiaTheme="minorHAnsi" w:hAnsi="Arial Narrow" w:cstheme="minorBidi"/>
          <w:lang w:eastAsia="en-US"/>
        </w:rPr>
      </w:pPr>
      <w:r w:rsidRPr="000D23B1">
        <w:rPr>
          <w:rFonts w:ascii="Arial Narrow" w:eastAsiaTheme="minorHAnsi" w:hAnsi="Arial Narrow" w:cstheme="minorBidi"/>
          <w:lang w:eastAsia="en-US"/>
        </w:rPr>
        <w:t>Absence de réponse lors de la remise en concurrence des titulaires de l’accord-cadre pour l’attribution des marchés subséquents ;</w:t>
      </w:r>
    </w:p>
    <w:p w14:paraId="1FA79B41" w14:textId="6B54CF10" w:rsidR="0006022E" w:rsidRDefault="000D23B1" w:rsidP="000D23B1">
      <w:pPr>
        <w:pStyle w:val="Sansinterligne"/>
        <w:numPr>
          <w:ilvl w:val="0"/>
          <w:numId w:val="21"/>
        </w:numPr>
        <w:spacing w:line="360" w:lineRule="auto"/>
        <w:jc w:val="both"/>
        <w:rPr>
          <w:rFonts w:ascii="Arial Narrow" w:eastAsiaTheme="minorHAnsi" w:hAnsi="Arial Narrow" w:cstheme="minorBidi"/>
          <w:lang w:eastAsia="en-US"/>
        </w:rPr>
      </w:pPr>
      <w:r>
        <w:rPr>
          <w:rFonts w:ascii="Arial Narrow" w:eastAsiaTheme="minorHAnsi" w:hAnsi="Arial Narrow" w:cstheme="minorBidi"/>
          <w:lang w:eastAsia="en-US"/>
        </w:rPr>
        <w:lastRenderedPageBreak/>
        <w:t>Incapacité des</w:t>
      </w:r>
      <w:r w:rsidR="0006022E" w:rsidRPr="000D23B1">
        <w:rPr>
          <w:rFonts w:ascii="Arial Narrow" w:eastAsiaTheme="minorHAnsi" w:hAnsi="Arial Narrow" w:cstheme="minorBidi"/>
          <w:lang w:eastAsia="en-US"/>
        </w:rPr>
        <w:t xml:space="preserve"> titulaire</w:t>
      </w:r>
      <w:r>
        <w:rPr>
          <w:rFonts w:ascii="Arial Narrow" w:eastAsiaTheme="minorHAnsi" w:hAnsi="Arial Narrow" w:cstheme="minorBidi"/>
          <w:lang w:eastAsia="en-US"/>
        </w:rPr>
        <w:t>s</w:t>
      </w:r>
      <w:r w:rsidR="0006022E" w:rsidRPr="000D23B1">
        <w:rPr>
          <w:rFonts w:ascii="Arial Narrow" w:eastAsiaTheme="minorHAnsi" w:hAnsi="Arial Narrow" w:cstheme="minorBidi"/>
          <w:lang w:eastAsia="en-US"/>
        </w:rPr>
        <w:t xml:space="preserve"> d’exécuter les prestations</w:t>
      </w:r>
      <w:r w:rsidR="0016785C">
        <w:rPr>
          <w:rFonts w:ascii="Arial Narrow" w:eastAsiaTheme="minorHAnsi" w:hAnsi="Arial Narrow" w:cstheme="minorBidi"/>
          <w:lang w:eastAsia="en-US"/>
        </w:rPr>
        <w:t> : rupture d’approvisionnement des m</w:t>
      </w:r>
      <w:r w:rsidR="00EE41D9">
        <w:rPr>
          <w:rFonts w:ascii="Arial Narrow" w:eastAsiaTheme="minorHAnsi" w:hAnsi="Arial Narrow" w:cstheme="minorBidi"/>
          <w:lang w:eastAsia="en-US"/>
        </w:rPr>
        <w:t>atériaux, absence de personnel</w:t>
      </w:r>
      <w:r w:rsidR="0016785C">
        <w:rPr>
          <w:rFonts w:ascii="Arial Narrow" w:eastAsiaTheme="minorHAnsi" w:hAnsi="Arial Narrow" w:cstheme="minorBidi"/>
          <w:lang w:eastAsia="en-US"/>
        </w:rPr>
        <w:t>…</w:t>
      </w:r>
      <w:r w:rsidR="009D63CC" w:rsidRPr="000D23B1">
        <w:rPr>
          <w:rFonts w:ascii="Arial Narrow" w:eastAsiaTheme="minorHAnsi" w:hAnsi="Arial Narrow" w:cstheme="minorBidi"/>
          <w:lang w:eastAsia="en-US"/>
        </w:rPr>
        <w:t> ;</w:t>
      </w:r>
      <w:r w:rsidR="0006022E" w:rsidRPr="000D23B1">
        <w:rPr>
          <w:rFonts w:ascii="Arial Narrow" w:eastAsiaTheme="minorHAnsi" w:hAnsi="Arial Narrow" w:cstheme="minorBidi"/>
          <w:lang w:eastAsia="en-US"/>
        </w:rPr>
        <w:t xml:space="preserve"> </w:t>
      </w:r>
    </w:p>
    <w:p w14:paraId="47050F6A" w14:textId="632829A6" w:rsidR="006F33F3" w:rsidRPr="006F33F3" w:rsidRDefault="006F33F3" w:rsidP="006F33F3">
      <w:pPr>
        <w:pStyle w:val="Paragraphedeliste"/>
        <w:numPr>
          <w:ilvl w:val="0"/>
          <w:numId w:val="21"/>
        </w:numPr>
        <w:spacing w:line="360" w:lineRule="auto"/>
        <w:jc w:val="both"/>
        <w:rPr>
          <w:rFonts w:ascii="Arial Narrow" w:hAnsi="Arial Narrow"/>
        </w:rPr>
      </w:pPr>
      <w:r>
        <w:rPr>
          <w:rFonts w:ascii="Arial Narrow" w:hAnsi="Arial Narrow"/>
        </w:rPr>
        <w:t>Pou</w:t>
      </w:r>
      <w:r w:rsidRPr="006F33F3">
        <w:rPr>
          <w:rFonts w:ascii="Arial Narrow" w:hAnsi="Arial Narrow"/>
        </w:rPr>
        <w:t xml:space="preserve">r des </w:t>
      </w:r>
      <w:r>
        <w:rPr>
          <w:rFonts w:ascii="Arial Narrow" w:hAnsi="Arial Narrow"/>
        </w:rPr>
        <w:t>dispositifs</w:t>
      </w:r>
      <w:r w:rsidRPr="006F33F3">
        <w:rPr>
          <w:rFonts w:ascii="Arial Narrow" w:hAnsi="Arial Narrow"/>
        </w:rPr>
        <w:t xml:space="preserve"> nécessitant des méthodes de production spécifique ou des technologies rares ou propriétaires (</w:t>
      </w:r>
      <w:r>
        <w:rPr>
          <w:rFonts w:ascii="Arial Narrow" w:hAnsi="Arial Narrow"/>
        </w:rPr>
        <w:t>matériaux innovants,</w:t>
      </w:r>
      <w:r w:rsidRPr="006F33F3">
        <w:rPr>
          <w:rFonts w:ascii="Arial Narrow" w:hAnsi="Arial Narrow"/>
        </w:rPr>
        <w:t xml:space="preserve"> technologies à venir, etc.)</w:t>
      </w:r>
      <w:r w:rsidR="00EE41D9">
        <w:rPr>
          <w:rFonts w:ascii="Arial Narrow" w:hAnsi="Arial Narrow"/>
        </w:rPr>
        <w:t xml:space="preserve"> </w:t>
      </w:r>
      <w:r w:rsidRPr="006F33F3">
        <w:rPr>
          <w:rFonts w:ascii="Arial Narrow" w:hAnsi="Arial Narrow"/>
        </w:rPr>
        <w:t>;</w:t>
      </w:r>
    </w:p>
    <w:p w14:paraId="1257A02B" w14:textId="0EA0CAFC" w:rsidR="006F33F3" w:rsidRDefault="006F33F3" w:rsidP="00C17976">
      <w:pPr>
        <w:pStyle w:val="Paragraphedeliste"/>
        <w:numPr>
          <w:ilvl w:val="0"/>
          <w:numId w:val="21"/>
        </w:numPr>
        <w:spacing w:line="360" w:lineRule="auto"/>
        <w:jc w:val="both"/>
        <w:rPr>
          <w:rFonts w:ascii="Arial Narrow" w:hAnsi="Arial Narrow"/>
        </w:rPr>
      </w:pPr>
      <w:r w:rsidRPr="006F33F3">
        <w:rPr>
          <w:rFonts w:ascii="Arial Narrow" w:hAnsi="Arial Narrow"/>
        </w:rPr>
        <w:t>Dans le cadre des expositions temporaires</w:t>
      </w:r>
      <w:r w:rsidR="00B16107">
        <w:rPr>
          <w:rFonts w:ascii="Arial Narrow" w:hAnsi="Arial Narrow"/>
        </w:rPr>
        <w:t xml:space="preserve"> ou d’un projet spécifique</w:t>
      </w:r>
      <w:r w:rsidRPr="006F33F3">
        <w:rPr>
          <w:rFonts w:ascii="Arial Narrow" w:hAnsi="Arial Narrow"/>
        </w:rPr>
        <w:t>, pour des dispositifs nécessitant, pour les besoins de la scénographie, un traitement artistique spécifique composante d’une œuvre d’art, sur la demande spécifique d’un artiste</w:t>
      </w:r>
      <w:r w:rsidR="00B16107">
        <w:rPr>
          <w:rFonts w:ascii="Arial Narrow" w:hAnsi="Arial Narrow"/>
        </w:rPr>
        <w:t xml:space="preserve"> ou du scénographe</w:t>
      </w:r>
      <w:r w:rsidR="00641386">
        <w:rPr>
          <w:rFonts w:ascii="Arial Narrow" w:hAnsi="Arial Narrow"/>
        </w:rPr>
        <w:t> ;</w:t>
      </w:r>
    </w:p>
    <w:p w14:paraId="42AAD8BC" w14:textId="2638AE4A" w:rsidR="006F33F3" w:rsidRPr="006F33F3" w:rsidRDefault="006F33F3" w:rsidP="00B16107">
      <w:pPr>
        <w:pStyle w:val="Paragraphedeliste"/>
        <w:numPr>
          <w:ilvl w:val="0"/>
          <w:numId w:val="21"/>
        </w:numPr>
        <w:spacing w:line="360" w:lineRule="auto"/>
        <w:jc w:val="both"/>
        <w:rPr>
          <w:rFonts w:ascii="Arial Narrow" w:hAnsi="Arial Narrow"/>
        </w:rPr>
      </w:pPr>
      <w:r>
        <w:rPr>
          <w:rFonts w:ascii="Arial Narrow" w:hAnsi="Arial Narrow"/>
        </w:rPr>
        <w:t>Po</w:t>
      </w:r>
      <w:r w:rsidRPr="006F33F3">
        <w:rPr>
          <w:rFonts w:ascii="Arial Narrow" w:hAnsi="Arial Narrow"/>
        </w:rPr>
        <w:t xml:space="preserve">ur des </w:t>
      </w:r>
      <w:r>
        <w:rPr>
          <w:rFonts w:ascii="Arial Narrow" w:hAnsi="Arial Narrow"/>
        </w:rPr>
        <w:t>dispositifs</w:t>
      </w:r>
      <w:r w:rsidRPr="006F33F3">
        <w:rPr>
          <w:rFonts w:ascii="Arial Narrow" w:hAnsi="Arial Narrow"/>
        </w:rPr>
        <w:t xml:space="preserve"> produits dans le cadre </w:t>
      </w:r>
      <w:r w:rsidR="00B16107">
        <w:rPr>
          <w:rFonts w:ascii="Arial Narrow" w:hAnsi="Arial Narrow"/>
        </w:rPr>
        <w:t>d’un projet spécifique réalisé</w:t>
      </w:r>
      <w:r w:rsidRPr="006F33F3">
        <w:rPr>
          <w:rFonts w:ascii="Arial Narrow" w:hAnsi="Arial Narrow"/>
        </w:rPr>
        <w:t xml:space="preserve"> en co-production ou en collaboration avec une institution partenaire qui prendrait part au choix du prestataire.</w:t>
      </w:r>
    </w:p>
    <w:p w14:paraId="60ECD248" w14:textId="3F051C06" w:rsidR="00D9355E" w:rsidRPr="00546FE0" w:rsidRDefault="00D9355E"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79ECDDBC" w:rsidR="00D9355E" w:rsidRPr="00546FE0" w:rsidRDefault="00D9355E" w:rsidP="00E41FB9">
      <w:pPr>
        <w:pStyle w:val="En-tte"/>
        <w:numPr>
          <w:ilvl w:val="1"/>
          <w:numId w:val="25"/>
        </w:numPr>
        <w:tabs>
          <w:tab w:val="clear" w:pos="4536"/>
          <w:tab w:val="clear" w:pos="9072"/>
        </w:tabs>
        <w:spacing w:after="240" w:line="360" w:lineRule="auto"/>
        <w:jc w:val="both"/>
        <w:rPr>
          <w:rFonts w:ascii="Arial Narrow" w:hAnsi="Arial Narrow"/>
          <w:b/>
        </w:rPr>
      </w:pPr>
      <w:r w:rsidRPr="00546FE0">
        <w:rPr>
          <w:rFonts w:ascii="Arial Narrow" w:hAnsi="Arial Narrow"/>
          <w:b/>
        </w:rPr>
        <w:t>Pour l'</w:t>
      </w:r>
      <w:r w:rsidR="00590216">
        <w:rPr>
          <w:rFonts w:ascii="Arial Narrow" w:hAnsi="Arial Narrow"/>
          <w:b/>
        </w:rPr>
        <w:t>EPMO-VGE</w:t>
      </w:r>
    </w:p>
    <w:p w14:paraId="4E64DA80" w14:textId="2B81A257"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Le suivi des prestati</w:t>
      </w:r>
      <w:r w:rsidR="000D23B1">
        <w:rPr>
          <w:rFonts w:ascii="Arial Narrow" w:hAnsi="Arial Narrow"/>
        </w:rPr>
        <w:t>ons est assuré par le Directeur</w:t>
      </w:r>
      <w:r w:rsidRPr="00546FE0">
        <w:rPr>
          <w:rFonts w:ascii="Arial Narrow" w:hAnsi="Arial Narrow"/>
        </w:rPr>
        <w:t xml:space="preserve"> de</w:t>
      </w:r>
      <w:r w:rsidR="000D23B1">
        <w:rPr>
          <w:rFonts w:ascii="Arial Narrow" w:hAnsi="Arial Narrow"/>
        </w:rPr>
        <w:t>s Publics, M. Guillaume Blanc</w:t>
      </w:r>
      <w:r w:rsidRPr="00546FE0">
        <w:rPr>
          <w:rFonts w:ascii="Arial Narrow" w:hAnsi="Arial Narrow"/>
        </w:rPr>
        <w:t xml:space="preserve"> </w:t>
      </w:r>
      <w:r w:rsidR="00376A8E" w:rsidRPr="00546FE0">
        <w:rPr>
          <w:rFonts w:ascii="Arial Narrow" w:hAnsi="Arial Narrow"/>
        </w:rPr>
        <w:t xml:space="preserve">ou </w:t>
      </w:r>
      <w:r w:rsidRPr="00546FE0">
        <w:rPr>
          <w:rFonts w:ascii="Arial Narrow" w:hAnsi="Arial Narrow"/>
        </w:rPr>
        <w:t>son représentant dûment habilité à cet effet en la personne de</w:t>
      </w:r>
      <w:r w:rsidR="00EE41D9">
        <w:rPr>
          <w:rFonts w:ascii="Arial Narrow" w:hAnsi="Arial Narrow"/>
        </w:rPr>
        <w:t xml:space="preserve"> M.</w:t>
      </w:r>
      <w:r w:rsidRPr="00546FE0">
        <w:rPr>
          <w:rFonts w:ascii="Arial Narrow" w:hAnsi="Arial Narrow"/>
        </w:rPr>
        <w:t xml:space="preserve"> </w:t>
      </w:r>
      <w:r w:rsidR="00B16107" w:rsidRPr="00C17976">
        <w:rPr>
          <w:rFonts w:ascii="Arial Narrow" w:hAnsi="Arial Narrow"/>
        </w:rPr>
        <w:t>Tommaso</w:t>
      </w:r>
      <w:r w:rsidR="00C17976">
        <w:rPr>
          <w:rFonts w:ascii="Arial Narrow" w:hAnsi="Arial Narrow"/>
        </w:rPr>
        <w:t xml:space="preserve"> </w:t>
      </w:r>
      <w:proofErr w:type="spellStart"/>
      <w:r w:rsidR="00EE41D9">
        <w:rPr>
          <w:rFonts w:ascii="Arial Narrow" w:hAnsi="Arial Narrow"/>
        </w:rPr>
        <w:t>Benelli</w:t>
      </w:r>
      <w:proofErr w:type="spellEnd"/>
      <w:r w:rsidR="00C17976">
        <w:rPr>
          <w:rFonts w:ascii="Arial Narrow" w:hAnsi="Arial Narrow"/>
        </w:rPr>
        <w:t xml:space="preserve">, chef du service de </w:t>
      </w:r>
      <w:r w:rsidR="00EE41D9">
        <w:rPr>
          <w:rFonts w:ascii="Arial Narrow" w:hAnsi="Arial Narrow"/>
        </w:rPr>
        <w:t xml:space="preserve">la médiation et de </w:t>
      </w:r>
      <w:r w:rsidR="00C17976">
        <w:rPr>
          <w:rFonts w:ascii="Arial Narrow" w:hAnsi="Arial Narrow"/>
        </w:rPr>
        <w:t>l’éducation artistique et culturelle.</w:t>
      </w:r>
    </w:p>
    <w:p w14:paraId="0E1F2FC7" w14:textId="672712C5" w:rsidR="00D9355E" w:rsidRPr="00546FE0" w:rsidRDefault="00D9355E" w:rsidP="00E41FB9">
      <w:pPr>
        <w:pStyle w:val="En-tte"/>
        <w:numPr>
          <w:ilvl w:val="1"/>
          <w:numId w:val="25"/>
        </w:numPr>
        <w:tabs>
          <w:tab w:val="clear" w:pos="4536"/>
          <w:tab w:val="clear" w:pos="9072"/>
        </w:tabs>
        <w:spacing w:after="240" w:line="360" w:lineRule="auto"/>
        <w:jc w:val="both"/>
        <w:rPr>
          <w:rFonts w:ascii="Arial Narrow" w:hAnsi="Arial Narrow"/>
          <w:b/>
        </w:rPr>
      </w:pPr>
      <w:r w:rsidRPr="00546FE0">
        <w:rPr>
          <w:rFonts w:ascii="Arial Narrow" w:hAnsi="Arial Narrow"/>
          <w:b/>
        </w:rPr>
        <w:t>Pour le titulaire</w:t>
      </w:r>
    </w:p>
    <w:p w14:paraId="5D789F83" w14:textId="6C6F4375"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w:t>
      </w:r>
      <w:r w:rsidR="00590216">
        <w:rPr>
          <w:rFonts w:ascii="Arial Narrow" w:hAnsi="Arial Narrow"/>
        </w:rPr>
        <w:t>EPMO-VGE</w:t>
      </w:r>
      <w:r w:rsidR="00376A8E" w:rsidRPr="00546FE0">
        <w:rPr>
          <w:rFonts w:ascii="Arial Narrow" w:hAnsi="Arial Narrow"/>
        </w:rPr>
        <w:t>.</w:t>
      </w:r>
    </w:p>
    <w:p w14:paraId="778C4399" w14:textId="2BC73742" w:rsidR="00D9355E" w:rsidRPr="00546FE0" w:rsidRDefault="00D9355E" w:rsidP="00DC2FA3">
      <w:pPr>
        <w:pStyle w:val="En-tte"/>
        <w:spacing w:after="120" w:line="360" w:lineRule="auto"/>
        <w:jc w:val="both"/>
        <w:rPr>
          <w:rFonts w:ascii="Arial Narrow" w:hAnsi="Arial Narrow"/>
        </w:rPr>
      </w:pPr>
      <w:r w:rsidRPr="00546FE0">
        <w:rPr>
          <w:rFonts w:ascii="Arial Narrow" w:hAnsi="Arial Narrow"/>
        </w:rPr>
        <w:t xml:space="preserve">Si cette personne n’était plus en mesure d’accomplir sa mission,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w:t>
      </w:r>
      <w:r w:rsidR="00590216">
        <w:rPr>
          <w:rFonts w:ascii="Arial Narrow" w:hAnsi="Arial Narrow"/>
        </w:rPr>
        <w:t>EPMO-VGE</w:t>
      </w:r>
      <w:r w:rsidRPr="00546FE0">
        <w:rPr>
          <w:rFonts w:ascii="Arial Narrow" w:hAnsi="Arial Narrow"/>
        </w:rPr>
        <w:t xml:space="preserve"> par tous moyens 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Pr="00546FE0">
        <w:rPr>
          <w:rFonts w:ascii="Arial Narrow" w:hAnsi="Arial Narrow"/>
        </w:rPr>
        <w:t xml:space="preserve"> au </w:t>
      </w:r>
      <w:r w:rsidR="00376A8E" w:rsidRPr="00546FE0">
        <w:rPr>
          <w:rFonts w:ascii="Arial Narrow" w:hAnsi="Arial Narrow"/>
        </w:rPr>
        <w:t>responsable des prestations de l’</w:t>
      </w:r>
      <w:r w:rsidR="00590216">
        <w:rPr>
          <w:rFonts w:ascii="Arial Narrow" w:hAnsi="Arial Narrow"/>
        </w:rPr>
        <w:t>EPMO-VGE</w:t>
      </w:r>
      <w:r w:rsidR="00DC2FA3" w:rsidRPr="00546FE0">
        <w:rPr>
          <w:rFonts w:ascii="Arial Narrow" w:hAnsi="Arial Narrow"/>
        </w:rPr>
        <w:t xml:space="preserve"> dans les plus brefs délais.</w:t>
      </w:r>
    </w:p>
    <w:p w14:paraId="5B0A2AB5" w14:textId="77777777" w:rsidR="005D555E" w:rsidRPr="00546FE0" w:rsidRDefault="005D555E" w:rsidP="00DC2FA3">
      <w:pPr>
        <w:pStyle w:val="En-tte"/>
        <w:spacing w:after="120" w:line="360" w:lineRule="auto"/>
        <w:jc w:val="both"/>
        <w:rPr>
          <w:rFonts w:ascii="Arial Narrow" w:hAnsi="Arial Narrow"/>
        </w:rPr>
      </w:pPr>
    </w:p>
    <w:p w14:paraId="3CEEE19C" w14:textId="4BAD7CE1" w:rsidR="00D9355E" w:rsidRPr="00546FE0" w:rsidRDefault="001678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MODALITES DE PASSATION DES MARCHES SUBSEQUENTS</w:t>
      </w:r>
    </w:p>
    <w:p w14:paraId="675C8077" w14:textId="28C7AB24" w:rsidR="005D555E" w:rsidRPr="0016785C" w:rsidRDefault="005D555E" w:rsidP="00E41FB9">
      <w:pPr>
        <w:pStyle w:val="En-tte"/>
        <w:numPr>
          <w:ilvl w:val="1"/>
          <w:numId w:val="26"/>
        </w:numPr>
        <w:tabs>
          <w:tab w:val="clear" w:pos="4536"/>
          <w:tab w:val="clear" w:pos="9072"/>
        </w:tabs>
        <w:spacing w:after="240" w:line="360" w:lineRule="auto"/>
        <w:ind w:left="709"/>
        <w:jc w:val="both"/>
        <w:rPr>
          <w:rFonts w:ascii="Arial Narrow" w:hAnsi="Arial Narrow"/>
          <w:b/>
        </w:rPr>
      </w:pPr>
      <w:r w:rsidRPr="0016785C">
        <w:rPr>
          <w:rFonts w:ascii="Arial Narrow" w:hAnsi="Arial Narrow"/>
          <w:b/>
        </w:rPr>
        <w:t>Rappel des oblig</w:t>
      </w:r>
      <w:r w:rsidR="0016785C">
        <w:rPr>
          <w:rFonts w:ascii="Arial Narrow" w:hAnsi="Arial Narrow"/>
          <w:b/>
        </w:rPr>
        <w:t xml:space="preserve">ations </w:t>
      </w:r>
      <w:r w:rsidRPr="0016785C">
        <w:rPr>
          <w:rFonts w:ascii="Arial Narrow" w:hAnsi="Arial Narrow"/>
          <w:b/>
        </w:rPr>
        <w:t>des titulaire</w:t>
      </w:r>
      <w:r w:rsidR="0016785C">
        <w:rPr>
          <w:rFonts w:ascii="Arial Narrow" w:hAnsi="Arial Narrow"/>
          <w:b/>
        </w:rPr>
        <w:t>s</w:t>
      </w:r>
    </w:p>
    <w:p w14:paraId="62B9464C" w14:textId="4DB0778A" w:rsidR="005D555E" w:rsidRDefault="000D23B1" w:rsidP="005D555E">
      <w:pPr>
        <w:pStyle w:val="En-tte"/>
        <w:spacing w:after="120" w:line="360" w:lineRule="auto"/>
        <w:jc w:val="both"/>
        <w:rPr>
          <w:rFonts w:ascii="Arial Narrow" w:hAnsi="Arial Narrow"/>
        </w:rPr>
      </w:pPr>
      <w:r>
        <w:rPr>
          <w:rFonts w:ascii="Arial Narrow" w:hAnsi="Arial Narrow"/>
        </w:rPr>
        <w:t>Les</w:t>
      </w:r>
      <w:r w:rsidR="005D555E" w:rsidRPr="00546FE0">
        <w:rPr>
          <w:rFonts w:ascii="Arial Narrow" w:hAnsi="Arial Narrow"/>
        </w:rPr>
        <w:t xml:space="preserve"> titulaires de l’accord-cadre s’engagent à faire des offres régulières, accep</w:t>
      </w:r>
      <w:r>
        <w:rPr>
          <w:rFonts w:ascii="Arial Narrow" w:hAnsi="Arial Narrow"/>
        </w:rPr>
        <w:t>tables et appropriées lorsqu’ils seront sollicité</w:t>
      </w:r>
      <w:r w:rsidR="005D555E" w:rsidRPr="00546FE0">
        <w:rPr>
          <w:rFonts w:ascii="Arial Narrow" w:hAnsi="Arial Narrow"/>
        </w:rPr>
        <w:t>s pour les marchés subséquents. Il a</w:t>
      </w:r>
      <w:r>
        <w:rPr>
          <w:rFonts w:ascii="Arial Narrow" w:hAnsi="Arial Narrow"/>
        </w:rPr>
        <w:t xml:space="preserve">ppartient en effet </w:t>
      </w:r>
      <w:r w:rsidR="005D555E" w:rsidRPr="00546FE0">
        <w:rPr>
          <w:rFonts w:ascii="Arial Narrow" w:hAnsi="Arial Narrow"/>
        </w:rPr>
        <w:t>aux titulaires de prendre tous les mesures pour faire face à l’engagement pris lors de la signature de l’accord-cadre.</w:t>
      </w:r>
    </w:p>
    <w:p w14:paraId="115B224F" w14:textId="1C89CD62" w:rsidR="0030192B" w:rsidRPr="00546FE0" w:rsidRDefault="00D3246C" w:rsidP="005D555E">
      <w:pPr>
        <w:pStyle w:val="En-tte"/>
        <w:spacing w:after="120" w:line="360" w:lineRule="auto"/>
        <w:jc w:val="both"/>
        <w:rPr>
          <w:rFonts w:ascii="Arial Narrow" w:hAnsi="Arial Narrow"/>
        </w:rPr>
      </w:pPr>
      <w:r>
        <w:rPr>
          <w:rFonts w:ascii="Arial Narrow" w:hAnsi="Arial Narrow"/>
        </w:rPr>
        <w:lastRenderedPageBreak/>
        <w:t xml:space="preserve">Il n’est pas prévu de pénalité en cas d’absence de réponse aux marchés subséquents. Les attributaires de ce marché devront cependant </w:t>
      </w:r>
      <w:r w:rsidRPr="001D7A97">
        <w:rPr>
          <w:rFonts w:ascii="Arial Narrow" w:hAnsi="Arial Narrow"/>
        </w:rPr>
        <w:t xml:space="preserve">répondre à minimum </w:t>
      </w:r>
      <w:r w:rsidR="00CB64C7">
        <w:rPr>
          <w:rFonts w:ascii="Arial Narrow" w:hAnsi="Arial Narrow"/>
        </w:rPr>
        <w:t>trois</w:t>
      </w:r>
      <w:r w:rsidRPr="001D7A97">
        <w:rPr>
          <w:rFonts w:ascii="Arial Narrow" w:hAnsi="Arial Narrow"/>
        </w:rPr>
        <w:t xml:space="preserve"> marchés subséquents par an, sous peine de se voir appliquer une pénalité de 500 € HT par année.</w:t>
      </w:r>
      <w:r>
        <w:rPr>
          <w:rFonts w:ascii="Arial Narrow" w:hAnsi="Arial Narrow"/>
        </w:rPr>
        <w:t xml:space="preserve"> </w:t>
      </w:r>
    </w:p>
    <w:p w14:paraId="6563085A" w14:textId="454C8E52" w:rsidR="00C258DB" w:rsidRDefault="005D555E" w:rsidP="0016785C">
      <w:pPr>
        <w:pStyle w:val="En-tte"/>
        <w:spacing w:line="360" w:lineRule="auto"/>
        <w:jc w:val="both"/>
        <w:rPr>
          <w:rFonts w:ascii="Arial Narrow" w:hAnsi="Arial Narrow"/>
        </w:rPr>
      </w:pPr>
      <w:r w:rsidRPr="00546FE0">
        <w:rPr>
          <w:rFonts w:ascii="Arial Narrow" w:hAnsi="Arial Narrow"/>
          <w:u w:val="single"/>
        </w:rPr>
        <w:t>Les prix proposés dans le cadre des marchés subséquents ne devront en aucun cas dépasser les prix figurant dans le référentiel de prix plafonds annexé à l’acte d’engagement du présent accord-cadre</w:t>
      </w:r>
      <w:r w:rsidRPr="00546FE0">
        <w:rPr>
          <w:rFonts w:ascii="Arial Narrow" w:hAnsi="Arial Narrow"/>
        </w:rPr>
        <w:t>. Néanmoins, des prix complémentaires liés aux prestations qui n’auraient pu être anticipées au moment de la conclusion de l’accord-cadre pourront être proposés par le titulaire dans son offre. Il est rappelé que ces prestations relèveront nécessairement du périmètre du présent accord-cadre.</w:t>
      </w:r>
    </w:p>
    <w:p w14:paraId="61B16469" w14:textId="77777777" w:rsidR="0016785C" w:rsidRDefault="0016785C" w:rsidP="0016785C">
      <w:pPr>
        <w:pStyle w:val="En-tte"/>
        <w:spacing w:line="360" w:lineRule="auto"/>
        <w:jc w:val="both"/>
        <w:rPr>
          <w:rFonts w:ascii="Arial Narrow" w:hAnsi="Arial Narrow"/>
        </w:rPr>
      </w:pPr>
    </w:p>
    <w:p w14:paraId="3E798EBE" w14:textId="3D418F76" w:rsidR="0016785C" w:rsidRDefault="0016785C" w:rsidP="00E41FB9">
      <w:pPr>
        <w:pStyle w:val="En-tte"/>
        <w:numPr>
          <w:ilvl w:val="1"/>
          <w:numId w:val="26"/>
        </w:numPr>
        <w:tabs>
          <w:tab w:val="clear" w:pos="4536"/>
          <w:tab w:val="clear" w:pos="9072"/>
        </w:tabs>
        <w:spacing w:after="240" w:line="360" w:lineRule="auto"/>
        <w:ind w:left="709"/>
        <w:jc w:val="both"/>
        <w:rPr>
          <w:rFonts w:ascii="Arial Narrow" w:hAnsi="Arial Narrow"/>
          <w:b/>
        </w:rPr>
      </w:pPr>
      <w:r>
        <w:rPr>
          <w:rFonts w:ascii="Arial Narrow" w:hAnsi="Arial Narrow"/>
          <w:b/>
        </w:rPr>
        <w:t>Conclusion des marchés subséquents</w:t>
      </w:r>
    </w:p>
    <w:p w14:paraId="5BB1B400" w14:textId="1D038800" w:rsidR="00641386" w:rsidRDefault="00641386" w:rsidP="00641386">
      <w:pPr>
        <w:pStyle w:val="En-tte"/>
        <w:numPr>
          <w:ilvl w:val="2"/>
          <w:numId w:val="26"/>
        </w:numPr>
        <w:tabs>
          <w:tab w:val="clear" w:pos="4536"/>
          <w:tab w:val="clear" w:pos="9072"/>
        </w:tabs>
        <w:spacing w:after="240" w:line="360" w:lineRule="auto"/>
        <w:ind w:left="1276"/>
        <w:jc w:val="both"/>
        <w:rPr>
          <w:rFonts w:ascii="Arial Narrow" w:hAnsi="Arial Narrow"/>
          <w:u w:val="single"/>
        </w:rPr>
      </w:pPr>
      <w:r w:rsidRPr="00641386">
        <w:rPr>
          <w:rFonts w:ascii="Arial Narrow" w:hAnsi="Arial Narrow"/>
          <w:u w:val="single"/>
        </w:rPr>
        <w:t>Conclusion des marchés subséquents dits « simples »</w:t>
      </w:r>
    </w:p>
    <w:p w14:paraId="3882E372" w14:textId="2552FF8B" w:rsidR="00641386" w:rsidRDefault="00641386" w:rsidP="00641386">
      <w:pPr>
        <w:pStyle w:val="En-tte"/>
        <w:spacing w:after="120" w:line="360" w:lineRule="auto"/>
        <w:jc w:val="both"/>
        <w:rPr>
          <w:rFonts w:ascii="Arial Narrow" w:hAnsi="Arial Narrow"/>
        </w:rPr>
      </w:pPr>
      <w:r w:rsidRPr="00641386">
        <w:rPr>
          <w:rFonts w:ascii="Arial Narrow" w:hAnsi="Arial Narrow"/>
        </w:rPr>
        <w:t>Les marchés subséquents sont dits « simples »</w:t>
      </w:r>
      <w:r>
        <w:rPr>
          <w:rFonts w:ascii="Arial Narrow" w:hAnsi="Arial Narrow"/>
        </w:rPr>
        <w:t xml:space="preserve"> quand ils consistent en la </w:t>
      </w:r>
      <w:r w:rsidR="005E4979">
        <w:rPr>
          <w:rFonts w:ascii="Arial Narrow" w:hAnsi="Arial Narrow"/>
        </w:rPr>
        <w:t>fabrication</w:t>
      </w:r>
      <w:r>
        <w:rPr>
          <w:rFonts w:ascii="Arial Narrow" w:hAnsi="Arial Narrow"/>
        </w:rPr>
        <w:t xml:space="preserve"> de dispositifs classiques, tels que ceux mentionnés </w:t>
      </w:r>
      <w:r w:rsidR="005E4979">
        <w:rPr>
          <w:rFonts w:ascii="Arial Narrow" w:hAnsi="Arial Narrow"/>
        </w:rPr>
        <w:t>aux points 1 à 12 de l’annexe au référentiel des prix plafonds</w:t>
      </w:r>
      <w:r>
        <w:rPr>
          <w:rFonts w:ascii="Arial Narrow" w:hAnsi="Arial Narrow"/>
        </w:rPr>
        <w:t xml:space="preserve">. Ces marchés subséquents constitueront la majorité des marchés subséquents conclus sur la base de cet accord-cadre. </w:t>
      </w:r>
    </w:p>
    <w:p w14:paraId="2B851DE0" w14:textId="29068E65" w:rsidR="00641386" w:rsidRPr="00641386" w:rsidRDefault="00641386" w:rsidP="00641386">
      <w:pPr>
        <w:pStyle w:val="En-tte"/>
        <w:spacing w:after="120" w:line="360" w:lineRule="auto"/>
        <w:jc w:val="both"/>
        <w:rPr>
          <w:rFonts w:ascii="Arial Narrow" w:hAnsi="Arial Narrow"/>
        </w:rPr>
      </w:pPr>
      <w:r w:rsidRPr="00FB04CA">
        <w:rPr>
          <w:rFonts w:ascii="Arial Narrow" w:hAnsi="Arial Narrow"/>
        </w:rPr>
        <w:t>Un modèle vierge de marché subséquent « simple » sur la base de cet accord-cadre est annexé au DCE.</w:t>
      </w:r>
      <w:r>
        <w:rPr>
          <w:rFonts w:ascii="Arial Narrow" w:hAnsi="Arial Narrow"/>
        </w:rPr>
        <w:t xml:space="preserve"> </w:t>
      </w:r>
    </w:p>
    <w:p w14:paraId="29375E7E" w14:textId="678BC226" w:rsidR="00641386" w:rsidRPr="00641386" w:rsidRDefault="00641386" w:rsidP="00641386">
      <w:pPr>
        <w:pStyle w:val="En-tte"/>
        <w:numPr>
          <w:ilvl w:val="2"/>
          <w:numId w:val="26"/>
        </w:numPr>
        <w:tabs>
          <w:tab w:val="clear" w:pos="4536"/>
          <w:tab w:val="clear" w:pos="9072"/>
        </w:tabs>
        <w:spacing w:after="240" w:line="360" w:lineRule="auto"/>
        <w:ind w:left="1276"/>
        <w:jc w:val="both"/>
        <w:rPr>
          <w:rFonts w:ascii="Arial Narrow" w:hAnsi="Arial Narrow"/>
          <w:b/>
        </w:rPr>
      </w:pPr>
      <w:r w:rsidRPr="00641386">
        <w:rPr>
          <w:rFonts w:ascii="Arial Narrow" w:hAnsi="Arial Narrow"/>
          <w:u w:val="single"/>
        </w:rPr>
        <w:t>Conclusion des marchés subséquents dits « complexes »</w:t>
      </w:r>
    </w:p>
    <w:p w14:paraId="76DE4B99" w14:textId="77777777" w:rsidR="00641386" w:rsidRDefault="00641386" w:rsidP="00641386">
      <w:pPr>
        <w:pStyle w:val="En-tte"/>
        <w:spacing w:after="120" w:line="360" w:lineRule="auto"/>
        <w:jc w:val="both"/>
        <w:rPr>
          <w:rFonts w:ascii="Arial Narrow" w:hAnsi="Arial Narrow"/>
        </w:rPr>
      </w:pPr>
      <w:r>
        <w:rPr>
          <w:rFonts w:ascii="Arial Narrow" w:hAnsi="Arial Narrow"/>
        </w:rPr>
        <w:t xml:space="preserve">Les marchés subséquents sont dits « complexes » quand ils consistent en un projet plus global, tel que l’aménagement complet d’un espace de médiation (point 13 de l’annexe au référentiel des prix plafonds). Ces marchés induiront une réflexion en collaboration avec les équipes de l’EPMO-VGE sur la nature des dispositifs, des matériaux, leur placement dans l’espace… selon le public de médiation visé. </w:t>
      </w:r>
    </w:p>
    <w:p w14:paraId="77A419B9" w14:textId="2872D0F4" w:rsidR="00641386" w:rsidRPr="00641386" w:rsidRDefault="00641386" w:rsidP="00641386">
      <w:pPr>
        <w:pStyle w:val="En-tte"/>
        <w:spacing w:after="120" w:line="360" w:lineRule="auto"/>
        <w:jc w:val="both"/>
        <w:rPr>
          <w:rFonts w:ascii="Arial Narrow" w:hAnsi="Arial Narrow"/>
        </w:rPr>
      </w:pPr>
      <w:r>
        <w:rPr>
          <w:rFonts w:ascii="Arial Narrow" w:hAnsi="Arial Narrow"/>
        </w:rPr>
        <w:t xml:space="preserve">Ces marchés pourront induire la réalisation d’un croquis, d’une esquisse, d’une note d’intention. La réponse à ces marchés pourra être rémunérée par l’Etablissement. </w:t>
      </w:r>
    </w:p>
    <w:p w14:paraId="5EFE55DF" w14:textId="1AB01AF5" w:rsidR="00641386" w:rsidRPr="00641386" w:rsidRDefault="00641386" w:rsidP="00641386">
      <w:pPr>
        <w:pStyle w:val="En-tte"/>
        <w:numPr>
          <w:ilvl w:val="2"/>
          <w:numId w:val="26"/>
        </w:numPr>
        <w:tabs>
          <w:tab w:val="clear" w:pos="4536"/>
          <w:tab w:val="clear" w:pos="9072"/>
        </w:tabs>
        <w:spacing w:after="240" w:line="360" w:lineRule="auto"/>
        <w:ind w:left="1276"/>
        <w:jc w:val="both"/>
        <w:rPr>
          <w:rFonts w:ascii="Arial Narrow" w:hAnsi="Arial Narrow"/>
          <w:b/>
        </w:rPr>
      </w:pPr>
      <w:r>
        <w:rPr>
          <w:rFonts w:ascii="Arial Narrow" w:hAnsi="Arial Narrow"/>
          <w:u w:val="single"/>
        </w:rPr>
        <w:t>Modalités de conclusion des marchés subséquents</w:t>
      </w:r>
    </w:p>
    <w:p w14:paraId="6BB52F8E" w14:textId="70434015" w:rsidR="005D555E" w:rsidRPr="00546FE0" w:rsidRDefault="005D555E" w:rsidP="00426B67">
      <w:pPr>
        <w:pStyle w:val="En-tte"/>
        <w:spacing w:after="120" w:line="360" w:lineRule="auto"/>
        <w:jc w:val="both"/>
        <w:rPr>
          <w:rFonts w:ascii="Arial Narrow" w:hAnsi="Arial Narrow"/>
        </w:rPr>
      </w:pPr>
      <w:r w:rsidRPr="00546FE0">
        <w:rPr>
          <w:rFonts w:ascii="Arial Narrow" w:hAnsi="Arial Narrow"/>
        </w:rPr>
        <w:t>Les marchés subséquents pourront être conclus tout au long de la vie de l’accord-cadre jusqu’au dernier jour de sa validité. Cependant, le délai d’exécution des prestations ne saurait faire excéder de manière excessive la durée contractuelle de l’accord-cadre.</w:t>
      </w:r>
    </w:p>
    <w:p w14:paraId="6D4E6851" w14:textId="77777777" w:rsidR="005D555E" w:rsidRPr="00546FE0" w:rsidRDefault="005D555E" w:rsidP="006528A6">
      <w:pPr>
        <w:pStyle w:val="En-tte"/>
        <w:spacing w:after="120" w:line="360" w:lineRule="auto"/>
        <w:jc w:val="both"/>
        <w:rPr>
          <w:rFonts w:ascii="Arial Narrow" w:hAnsi="Arial Narrow"/>
        </w:rPr>
      </w:pPr>
      <w:r w:rsidRPr="00546FE0">
        <w:rPr>
          <w:rFonts w:ascii="Arial Narrow" w:hAnsi="Arial Narrow"/>
        </w:rPr>
        <w:t>Pour la conclusion de marchés subséquents, une remise en concurrence sera organisée auprès des titulaires de l’accord-cadre</w:t>
      </w:r>
      <w:r w:rsidR="006528A6" w:rsidRPr="00546FE0">
        <w:rPr>
          <w:rFonts w:ascii="Arial Narrow" w:hAnsi="Arial Narrow"/>
        </w:rPr>
        <w:t xml:space="preserve"> et s’effectuera via le profil d’acheteur PLACE, selon les </w:t>
      </w:r>
      <w:r w:rsidRPr="00546FE0">
        <w:rPr>
          <w:rFonts w:ascii="Arial Narrow" w:hAnsi="Arial Narrow"/>
        </w:rPr>
        <w:t xml:space="preserve">étapes </w:t>
      </w:r>
      <w:r w:rsidR="006528A6" w:rsidRPr="00546FE0">
        <w:rPr>
          <w:rFonts w:ascii="Arial Narrow" w:hAnsi="Arial Narrow"/>
        </w:rPr>
        <w:t>ci-dessous</w:t>
      </w:r>
      <w:r w:rsidRPr="00546FE0">
        <w:rPr>
          <w:rFonts w:ascii="Arial Narrow" w:hAnsi="Arial Narrow"/>
        </w:rPr>
        <w:t> :</w:t>
      </w:r>
    </w:p>
    <w:p w14:paraId="7404DAD7" w14:textId="72A3AB73" w:rsidR="006528A6" w:rsidRPr="00546FE0" w:rsidRDefault="006528A6" w:rsidP="00245388">
      <w:pPr>
        <w:pStyle w:val="En-tte"/>
        <w:numPr>
          <w:ilvl w:val="0"/>
          <w:numId w:val="11"/>
        </w:numPr>
        <w:spacing w:after="120" w:line="360" w:lineRule="auto"/>
        <w:rPr>
          <w:rFonts w:ascii="Arial Narrow" w:hAnsi="Arial Narrow"/>
        </w:rPr>
      </w:pPr>
      <w:r w:rsidRPr="00546FE0">
        <w:rPr>
          <w:rFonts w:ascii="Arial Narrow" w:hAnsi="Arial Narrow"/>
          <w:u w:val="single"/>
        </w:rPr>
        <w:t>L’</w:t>
      </w:r>
      <w:r w:rsidR="00590216">
        <w:rPr>
          <w:rFonts w:ascii="Arial Narrow" w:hAnsi="Arial Narrow"/>
          <w:u w:val="single"/>
        </w:rPr>
        <w:t>EPMO-VGE</w:t>
      </w:r>
      <w:r w:rsidRPr="00546FE0">
        <w:rPr>
          <w:rFonts w:ascii="Arial Narrow" w:hAnsi="Arial Narrow"/>
          <w:u w:val="single"/>
        </w:rPr>
        <w:t xml:space="preserve"> communiquera le dossier suivant aux titulaires</w:t>
      </w:r>
      <w:r w:rsidRPr="00546FE0">
        <w:rPr>
          <w:rFonts w:ascii="Arial Narrow" w:hAnsi="Arial Narrow"/>
        </w:rPr>
        <w:t xml:space="preserve"> : </w:t>
      </w:r>
    </w:p>
    <w:p w14:paraId="794C6E33" w14:textId="3859B8DC" w:rsidR="005D555E" w:rsidRPr="00546FE0" w:rsidRDefault="00685F5F" w:rsidP="00245388">
      <w:pPr>
        <w:pStyle w:val="En-tte"/>
        <w:numPr>
          <w:ilvl w:val="0"/>
          <w:numId w:val="9"/>
        </w:numPr>
        <w:spacing w:after="120" w:line="360" w:lineRule="auto"/>
        <w:jc w:val="both"/>
        <w:rPr>
          <w:rFonts w:ascii="Arial Narrow" w:hAnsi="Arial Narrow"/>
        </w:rPr>
      </w:pPr>
      <w:r>
        <w:rPr>
          <w:rFonts w:ascii="Arial Narrow" w:hAnsi="Arial Narrow"/>
        </w:rPr>
        <w:t>La lettre de consultation</w:t>
      </w:r>
      <w:r w:rsidR="005D555E" w:rsidRPr="00546FE0">
        <w:rPr>
          <w:rFonts w:ascii="Arial Narrow" w:hAnsi="Arial Narrow"/>
        </w:rPr>
        <w:t xml:space="preserve"> qui contiendra les informations spécifiques, les éventuelles précisions techniques supplémentaires et les attendus particuliers non décrits dans le CCTP de l’accord-cadre</w:t>
      </w:r>
      <w:r>
        <w:rPr>
          <w:rFonts w:ascii="Arial Narrow" w:hAnsi="Arial Narrow"/>
        </w:rPr>
        <w:t> ;</w:t>
      </w:r>
    </w:p>
    <w:p w14:paraId="042CA3BA" w14:textId="77777777" w:rsidR="005D555E" w:rsidRPr="00546FE0" w:rsidRDefault="005D555E" w:rsidP="00245388">
      <w:pPr>
        <w:pStyle w:val="En-tte"/>
        <w:numPr>
          <w:ilvl w:val="0"/>
          <w:numId w:val="9"/>
        </w:numPr>
        <w:spacing w:after="120" w:line="360" w:lineRule="auto"/>
        <w:jc w:val="both"/>
        <w:rPr>
          <w:rFonts w:ascii="Arial Narrow" w:hAnsi="Arial Narrow"/>
        </w:rPr>
      </w:pPr>
      <w:r w:rsidRPr="00546FE0">
        <w:rPr>
          <w:rFonts w:ascii="Arial Narrow" w:hAnsi="Arial Narrow"/>
        </w:rPr>
        <w:lastRenderedPageBreak/>
        <w:t>L’annexe financière ;</w:t>
      </w:r>
    </w:p>
    <w:p w14:paraId="1B552EE5" w14:textId="58622228" w:rsidR="006F33F3" w:rsidRPr="006F33F3" w:rsidRDefault="005D555E" w:rsidP="006F33F3">
      <w:pPr>
        <w:pStyle w:val="En-tte"/>
        <w:numPr>
          <w:ilvl w:val="0"/>
          <w:numId w:val="9"/>
        </w:numPr>
        <w:spacing w:after="120" w:line="360" w:lineRule="auto"/>
        <w:jc w:val="both"/>
        <w:rPr>
          <w:rFonts w:ascii="Arial Narrow" w:hAnsi="Arial Narrow"/>
        </w:rPr>
      </w:pPr>
      <w:r w:rsidRPr="00546FE0">
        <w:rPr>
          <w:rFonts w:ascii="Arial Narrow" w:hAnsi="Arial Narrow"/>
        </w:rPr>
        <w:t>La liste des documents ou informations éventuellement demandés ainsi que le délai laissé pour remettre les offres</w:t>
      </w:r>
      <w:r w:rsidR="000D23B1">
        <w:rPr>
          <w:rFonts w:ascii="Arial Narrow" w:hAnsi="Arial Narrow"/>
        </w:rPr>
        <w:t>, qui sera au minimum de 15 jours</w:t>
      </w:r>
      <w:r w:rsidR="00685F5F">
        <w:rPr>
          <w:rFonts w:ascii="Arial Narrow" w:hAnsi="Arial Narrow"/>
        </w:rPr>
        <w:t xml:space="preserve">. </w:t>
      </w:r>
    </w:p>
    <w:p w14:paraId="1383E353" w14:textId="08CA9FAA" w:rsidR="006F33F3" w:rsidRPr="006F33F3" w:rsidRDefault="006F33F3" w:rsidP="006F33F3">
      <w:pPr>
        <w:pStyle w:val="En-tte"/>
        <w:numPr>
          <w:ilvl w:val="0"/>
          <w:numId w:val="11"/>
        </w:numPr>
        <w:spacing w:after="120" w:line="360" w:lineRule="auto"/>
        <w:rPr>
          <w:rFonts w:ascii="Arial Narrow" w:hAnsi="Arial Narrow"/>
          <w:u w:val="single"/>
        </w:rPr>
      </w:pPr>
      <w:r w:rsidRPr="006F33F3">
        <w:rPr>
          <w:rFonts w:ascii="Arial Narrow" w:hAnsi="Arial Narrow"/>
          <w:u w:val="single"/>
        </w:rPr>
        <w:t>Questions des candidats :</w:t>
      </w:r>
    </w:p>
    <w:p w14:paraId="2C2E5085" w14:textId="36232296" w:rsidR="006F33F3" w:rsidRPr="00546FE0" w:rsidRDefault="006F33F3" w:rsidP="009907B3">
      <w:pPr>
        <w:pStyle w:val="En-tte"/>
        <w:spacing w:after="120" w:line="360" w:lineRule="auto"/>
        <w:jc w:val="both"/>
        <w:rPr>
          <w:rFonts w:ascii="Arial Narrow" w:hAnsi="Arial Narrow"/>
        </w:rPr>
      </w:pPr>
      <w:r w:rsidRPr="006F33F3">
        <w:rPr>
          <w:rFonts w:ascii="Arial Narrow" w:hAnsi="Arial Narrow"/>
        </w:rPr>
        <w:t>Lors de chaque consultation pour l’attribution d’un marché subséquent, les candidats ont la possibilité de poser des question</w:t>
      </w:r>
      <w:r>
        <w:rPr>
          <w:rFonts w:ascii="Arial Narrow" w:hAnsi="Arial Narrow"/>
        </w:rPr>
        <w:t xml:space="preserve">s concernant les prestations. Ils </w:t>
      </w:r>
      <w:r w:rsidRPr="006F33F3">
        <w:rPr>
          <w:rFonts w:ascii="Arial Narrow" w:hAnsi="Arial Narrow"/>
        </w:rPr>
        <w:t>devront faire parvenir les quest</w:t>
      </w:r>
      <w:r>
        <w:rPr>
          <w:rFonts w:ascii="Arial Narrow" w:hAnsi="Arial Narrow"/>
        </w:rPr>
        <w:t>ions dans les délais indiqués, via u</w:t>
      </w:r>
      <w:r w:rsidRPr="006F33F3">
        <w:rPr>
          <w:rFonts w:ascii="Arial Narrow" w:hAnsi="Arial Narrow"/>
        </w:rPr>
        <w:t xml:space="preserve">ne demande écrite par voie électronique </w:t>
      </w:r>
      <w:r w:rsidR="00685F5F">
        <w:rPr>
          <w:rFonts w:ascii="Arial Narrow" w:hAnsi="Arial Narrow"/>
        </w:rPr>
        <w:t>sur la plateforme PLACE</w:t>
      </w:r>
      <w:r w:rsidRPr="006F33F3">
        <w:rPr>
          <w:rFonts w:ascii="Arial Narrow" w:hAnsi="Arial Narrow"/>
        </w:rPr>
        <w:t xml:space="preserve">, en utilisant le registre des questions. </w:t>
      </w:r>
    </w:p>
    <w:p w14:paraId="549F9B73" w14:textId="7A780FEC" w:rsidR="005D555E" w:rsidRPr="00546FE0" w:rsidRDefault="006F33F3" w:rsidP="00245388">
      <w:pPr>
        <w:pStyle w:val="En-tte"/>
        <w:numPr>
          <w:ilvl w:val="0"/>
          <w:numId w:val="11"/>
        </w:numPr>
        <w:spacing w:after="120" w:line="360" w:lineRule="auto"/>
        <w:jc w:val="both"/>
        <w:rPr>
          <w:rFonts w:ascii="Arial Narrow" w:hAnsi="Arial Narrow"/>
          <w:u w:val="single"/>
        </w:rPr>
      </w:pPr>
      <w:r>
        <w:rPr>
          <w:rFonts w:ascii="Arial Narrow" w:hAnsi="Arial Narrow"/>
          <w:u w:val="single"/>
        </w:rPr>
        <w:t>L</w:t>
      </w:r>
      <w:r w:rsidR="005D555E" w:rsidRPr="00546FE0">
        <w:rPr>
          <w:rFonts w:ascii="Arial Narrow" w:hAnsi="Arial Narrow"/>
          <w:u w:val="single"/>
        </w:rPr>
        <w:t xml:space="preserve">es titulaires remettront une offre qui comprendra </w:t>
      </w:r>
      <w:proofErr w:type="gramStart"/>
      <w:r>
        <w:rPr>
          <w:rFonts w:ascii="Arial Narrow" w:hAnsi="Arial Narrow"/>
          <w:u w:val="single"/>
        </w:rPr>
        <w:t>a</w:t>
      </w:r>
      <w:proofErr w:type="gramEnd"/>
      <w:r>
        <w:rPr>
          <w:rFonts w:ascii="Arial Narrow" w:hAnsi="Arial Narrow"/>
          <w:u w:val="single"/>
        </w:rPr>
        <w:t xml:space="preserve"> minima </w:t>
      </w:r>
      <w:r w:rsidR="005D555E" w:rsidRPr="00546FE0">
        <w:rPr>
          <w:rFonts w:ascii="Arial Narrow" w:hAnsi="Arial Narrow"/>
          <w:u w:val="single"/>
        </w:rPr>
        <w:t>les éléments suivants :</w:t>
      </w:r>
    </w:p>
    <w:p w14:paraId="0A1B5B7B" w14:textId="77777777" w:rsidR="005D555E" w:rsidRPr="00546FE0" w:rsidRDefault="005D555E" w:rsidP="00245388">
      <w:pPr>
        <w:pStyle w:val="En-tte"/>
        <w:numPr>
          <w:ilvl w:val="0"/>
          <w:numId w:val="9"/>
        </w:numPr>
        <w:spacing w:after="120" w:line="360" w:lineRule="auto"/>
        <w:jc w:val="both"/>
        <w:rPr>
          <w:rFonts w:ascii="Arial Narrow" w:hAnsi="Arial Narrow"/>
        </w:rPr>
      </w:pPr>
      <w:r w:rsidRPr="00546FE0">
        <w:rPr>
          <w:rFonts w:ascii="Arial Narrow" w:hAnsi="Arial Narrow"/>
        </w:rPr>
        <w:t xml:space="preserve">Le marché subséquent complété </w:t>
      </w:r>
    </w:p>
    <w:p w14:paraId="569122D9" w14:textId="77777777" w:rsidR="005D555E" w:rsidRPr="00546FE0" w:rsidRDefault="005D555E" w:rsidP="00245388">
      <w:pPr>
        <w:pStyle w:val="En-tte"/>
        <w:numPr>
          <w:ilvl w:val="0"/>
          <w:numId w:val="9"/>
        </w:numPr>
        <w:spacing w:after="120" w:line="360" w:lineRule="auto"/>
        <w:jc w:val="both"/>
        <w:rPr>
          <w:rFonts w:ascii="Arial Narrow" w:hAnsi="Arial Narrow"/>
        </w:rPr>
      </w:pPr>
      <w:r w:rsidRPr="00546FE0">
        <w:rPr>
          <w:rFonts w:ascii="Arial Narrow" w:hAnsi="Arial Narrow"/>
        </w:rPr>
        <w:t xml:space="preserve">L’annexe financière complétée avec les prix proposés pour les prestations demandées, </w:t>
      </w:r>
      <w:r w:rsidRPr="00685F5F">
        <w:rPr>
          <w:rFonts w:ascii="Arial Narrow" w:hAnsi="Arial Narrow"/>
          <w:b/>
        </w:rPr>
        <w:t>ces prix devant respecter les prix plafonds du référentiel de prix</w:t>
      </w:r>
      <w:r w:rsidRPr="00546FE0">
        <w:rPr>
          <w:rFonts w:ascii="Arial Narrow" w:hAnsi="Arial Narrow"/>
        </w:rPr>
        <w:t> ;</w:t>
      </w:r>
    </w:p>
    <w:p w14:paraId="18F2BC45" w14:textId="77777777" w:rsidR="005D555E" w:rsidRPr="00546FE0" w:rsidRDefault="005D555E" w:rsidP="00245388">
      <w:pPr>
        <w:pStyle w:val="En-tte"/>
        <w:numPr>
          <w:ilvl w:val="0"/>
          <w:numId w:val="9"/>
        </w:numPr>
        <w:spacing w:after="120" w:line="360" w:lineRule="auto"/>
        <w:jc w:val="both"/>
        <w:rPr>
          <w:rFonts w:ascii="Arial Narrow" w:hAnsi="Arial Narrow"/>
        </w:rPr>
      </w:pPr>
      <w:r w:rsidRPr="00546FE0">
        <w:rPr>
          <w:rFonts w:ascii="Arial Narrow" w:hAnsi="Arial Narrow"/>
        </w:rPr>
        <w:t>Les documents ou informations demandés.</w:t>
      </w:r>
    </w:p>
    <w:p w14:paraId="332D69F3" w14:textId="77777777" w:rsidR="005D555E" w:rsidRPr="00546FE0" w:rsidRDefault="005D555E" w:rsidP="00245388">
      <w:pPr>
        <w:pStyle w:val="En-tte"/>
        <w:numPr>
          <w:ilvl w:val="0"/>
          <w:numId w:val="11"/>
        </w:numPr>
        <w:spacing w:after="120" w:line="360" w:lineRule="auto"/>
        <w:rPr>
          <w:rFonts w:ascii="Arial Narrow" w:hAnsi="Arial Narrow"/>
        </w:rPr>
      </w:pPr>
      <w:r w:rsidRPr="00546FE0">
        <w:rPr>
          <w:rFonts w:ascii="Arial Narrow" w:hAnsi="Arial Narrow"/>
          <w:u w:val="single"/>
        </w:rPr>
        <w:t>Les offres remises seront analysées selon les critères suivants</w:t>
      </w:r>
      <w:r w:rsidRPr="00546FE0">
        <w:rPr>
          <w:rFonts w:ascii="Arial Narrow" w:hAnsi="Arial Narrow"/>
        </w:rPr>
        <w:t xml:space="preserve"> : </w:t>
      </w:r>
    </w:p>
    <w:p w14:paraId="574440B1" w14:textId="5B0F4E31" w:rsidR="005D555E" w:rsidRPr="009907B3" w:rsidRDefault="005D555E" w:rsidP="005D555E">
      <w:pPr>
        <w:pStyle w:val="En-tte"/>
        <w:spacing w:after="120" w:line="360" w:lineRule="auto"/>
        <w:rPr>
          <w:rFonts w:ascii="Arial Narrow" w:hAnsi="Arial Narrow"/>
        </w:rPr>
      </w:pPr>
      <w:r w:rsidRPr="009907B3">
        <w:rPr>
          <w:rFonts w:ascii="Arial Narrow" w:hAnsi="Arial Narrow"/>
        </w:rPr>
        <w:t xml:space="preserve">- </w:t>
      </w:r>
      <w:r w:rsidRPr="009907B3">
        <w:rPr>
          <w:rFonts w:ascii="Arial Narrow" w:hAnsi="Arial Narrow"/>
          <w:u w:val="single"/>
        </w:rPr>
        <w:t>Critère 1</w:t>
      </w:r>
      <w:r w:rsidRPr="009907B3">
        <w:rPr>
          <w:rFonts w:ascii="Arial Narrow" w:hAnsi="Arial Narrow"/>
        </w:rPr>
        <w:t xml:space="preserve"> : Pr</w:t>
      </w:r>
      <w:r w:rsidR="00DC2412" w:rsidRPr="009907B3">
        <w:rPr>
          <w:rFonts w:ascii="Arial Narrow" w:hAnsi="Arial Narrow"/>
        </w:rPr>
        <w:t>ix (</w:t>
      </w:r>
      <w:r w:rsidR="00E71777">
        <w:rPr>
          <w:rFonts w:ascii="Arial Narrow" w:hAnsi="Arial Narrow"/>
        </w:rPr>
        <w:t>10 à 7</w:t>
      </w:r>
      <w:r w:rsidR="009907B3" w:rsidRPr="009907B3">
        <w:rPr>
          <w:rFonts w:ascii="Arial Narrow" w:hAnsi="Arial Narrow"/>
        </w:rPr>
        <w:t xml:space="preserve">0 </w:t>
      </w:r>
      <w:r w:rsidRPr="009907B3">
        <w:rPr>
          <w:rFonts w:ascii="Arial Narrow" w:hAnsi="Arial Narrow"/>
        </w:rPr>
        <w:t>%)</w:t>
      </w:r>
    </w:p>
    <w:p w14:paraId="7072A8D4" w14:textId="3C9E747D" w:rsidR="006528A6" w:rsidRPr="009907B3" w:rsidRDefault="00DC2412" w:rsidP="006528A6">
      <w:pPr>
        <w:jc w:val="center"/>
        <w:rPr>
          <w:rFonts w:ascii="Arial Narrow" w:hAnsi="Arial Narrow"/>
        </w:rPr>
      </w:pPr>
      <w:r w:rsidRPr="009907B3">
        <w:rPr>
          <w:rFonts w:ascii="Arial Narrow" w:hAnsi="Arial Narrow"/>
        </w:rPr>
        <w:t>(Prix du titulaire TTC</w:t>
      </w:r>
      <w:r w:rsidR="006528A6" w:rsidRPr="009907B3">
        <w:rPr>
          <w:rFonts w:ascii="Arial Narrow" w:hAnsi="Arial Narrow"/>
        </w:rPr>
        <w:t xml:space="preserve"> le moins cher x 5) / Prix du candidat à noter = note / 5</w:t>
      </w:r>
    </w:p>
    <w:p w14:paraId="79C3C7BF" w14:textId="6B5BE993" w:rsidR="005D555E" w:rsidRDefault="005D555E" w:rsidP="005D555E">
      <w:pPr>
        <w:pStyle w:val="En-tte"/>
        <w:spacing w:after="120" w:line="360" w:lineRule="auto"/>
        <w:rPr>
          <w:rFonts w:ascii="Arial Narrow" w:hAnsi="Arial Narrow"/>
        </w:rPr>
      </w:pPr>
      <w:r w:rsidRPr="009907B3">
        <w:rPr>
          <w:rFonts w:ascii="Arial Narrow" w:hAnsi="Arial Narrow"/>
        </w:rPr>
        <w:t xml:space="preserve">- </w:t>
      </w:r>
      <w:r w:rsidRPr="009907B3">
        <w:rPr>
          <w:rFonts w:ascii="Arial Narrow" w:hAnsi="Arial Narrow"/>
          <w:u w:val="single"/>
        </w:rPr>
        <w:t>Critère 2</w:t>
      </w:r>
      <w:r w:rsidRPr="009907B3">
        <w:rPr>
          <w:rFonts w:ascii="Arial Narrow" w:hAnsi="Arial Narrow"/>
        </w:rPr>
        <w:t xml:space="preserve"> : Valeur</w:t>
      </w:r>
      <w:r w:rsidR="00DC2412" w:rsidRPr="009907B3">
        <w:rPr>
          <w:rFonts w:ascii="Arial Narrow" w:hAnsi="Arial Narrow"/>
        </w:rPr>
        <w:t xml:space="preserve"> technique (</w:t>
      </w:r>
      <w:r w:rsidR="00E71777">
        <w:rPr>
          <w:rFonts w:ascii="Arial Narrow" w:hAnsi="Arial Narrow"/>
        </w:rPr>
        <w:t>3</w:t>
      </w:r>
      <w:r w:rsidR="009907B3">
        <w:rPr>
          <w:rFonts w:ascii="Arial Narrow" w:hAnsi="Arial Narrow"/>
        </w:rPr>
        <w:t>0 à 9</w:t>
      </w:r>
      <w:r w:rsidR="009907B3" w:rsidRPr="009907B3">
        <w:rPr>
          <w:rFonts w:ascii="Arial Narrow" w:hAnsi="Arial Narrow"/>
        </w:rPr>
        <w:t xml:space="preserve">0 </w:t>
      </w:r>
      <w:r w:rsidR="00DC2412" w:rsidRPr="009907B3">
        <w:rPr>
          <w:rFonts w:ascii="Arial Narrow" w:hAnsi="Arial Narrow"/>
        </w:rPr>
        <w:t xml:space="preserve">%) </w:t>
      </w:r>
      <w:r w:rsidR="009907B3" w:rsidRPr="009907B3">
        <w:rPr>
          <w:rFonts w:ascii="Arial Narrow" w:hAnsi="Arial Narrow"/>
        </w:rPr>
        <w:t xml:space="preserve">qui pourra être décomposé en </w:t>
      </w:r>
      <w:r w:rsidRPr="009907B3">
        <w:rPr>
          <w:rFonts w:ascii="Arial Narrow" w:hAnsi="Arial Narrow"/>
        </w:rPr>
        <w:t xml:space="preserve">sous critères, comme </w:t>
      </w:r>
      <w:r w:rsidR="009907B3" w:rsidRPr="009907B3">
        <w:rPr>
          <w:rFonts w:ascii="Arial Narrow" w:hAnsi="Arial Narrow"/>
        </w:rPr>
        <w:t>par exemple (lis</w:t>
      </w:r>
      <w:r w:rsidR="00F05DF7">
        <w:rPr>
          <w:rFonts w:ascii="Arial Narrow" w:hAnsi="Arial Narrow"/>
        </w:rPr>
        <w:t>te non-</w:t>
      </w:r>
      <w:r w:rsidR="009907B3" w:rsidRPr="009907B3">
        <w:rPr>
          <w:rFonts w:ascii="Arial Narrow" w:hAnsi="Arial Narrow"/>
        </w:rPr>
        <w:t>exhaustive et non</w:t>
      </w:r>
      <w:r w:rsidR="00F05DF7">
        <w:rPr>
          <w:rFonts w:ascii="Arial Narrow" w:hAnsi="Arial Narrow"/>
        </w:rPr>
        <w:t>-</w:t>
      </w:r>
      <w:r w:rsidR="009907B3" w:rsidRPr="009907B3">
        <w:rPr>
          <w:rFonts w:ascii="Arial Narrow" w:hAnsi="Arial Narrow"/>
        </w:rPr>
        <w:t>limitative)</w:t>
      </w:r>
      <w:r w:rsidRPr="009907B3">
        <w:rPr>
          <w:rFonts w:ascii="Arial Narrow" w:hAnsi="Arial Narrow"/>
        </w:rPr>
        <w:t xml:space="preserve"> :</w:t>
      </w:r>
    </w:p>
    <w:p w14:paraId="75A03AAA" w14:textId="1CD9CC37" w:rsidR="00DC2412" w:rsidRPr="00F1664C" w:rsidRDefault="00B16107" w:rsidP="006F33F3">
      <w:pPr>
        <w:pStyle w:val="En-tte"/>
        <w:numPr>
          <w:ilvl w:val="0"/>
          <w:numId w:val="22"/>
        </w:numPr>
        <w:spacing w:after="120" w:line="360" w:lineRule="auto"/>
        <w:jc w:val="both"/>
        <w:rPr>
          <w:rFonts w:ascii="Arial Narrow" w:hAnsi="Arial Narrow"/>
        </w:rPr>
      </w:pPr>
      <w:r w:rsidRPr="00F1664C">
        <w:rPr>
          <w:rFonts w:ascii="Arial Narrow" w:hAnsi="Arial Narrow"/>
        </w:rPr>
        <w:t>Pertinence</w:t>
      </w:r>
      <w:r w:rsidR="00DC2412" w:rsidRPr="00F1664C">
        <w:rPr>
          <w:rFonts w:ascii="Arial Narrow" w:hAnsi="Arial Narrow"/>
        </w:rPr>
        <w:t xml:space="preserve"> de la proposition, appréciée selon le public cible et les objectifs du dispositif indiqués dans chaque marché subséquent</w:t>
      </w:r>
    </w:p>
    <w:p w14:paraId="054B48E0" w14:textId="6E24F80C" w:rsidR="00DC2412" w:rsidRPr="00F1664C" w:rsidRDefault="00DC2412" w:rsidP="006F33F3">
      <w:pPr>
        <w:pStyle w:val="En-tte"/>
        <w:numPr>
          <w:ilvl w:val="0"/>
          <w:numId w:val="22"/>
        </w:numPr>
        <w:spacing w:after="120" w:line="360" w:lineRule="auto"/>
        <w:jc w:val="both"/>
        <w:rPr>
          <w:rFonts w:ascii="Arial Narrow" w:hAnsi="Arial Narrow"/>
        </w:rPr>
      </w:pPr>
      <w:r w:rsidRPr="00F1664C">
        <w:rPr>
          <w:rFonts w:ascii="Arial Narrow" w:hAnsi="Arial Narrow"/>
        </w:rPr>
        <w:t>Qualité des processus de fabrication et des matériaux utilisés (y compris échantillons le cas échéant)</w:t>
      </w:r>
    </w:p>
    <w:p w14:paraId="66D2D89B" w14:textId="5B70BA87" w:rsidR="005D555E" w:rsidRPr="00F1664C" w:rsidRDefault="00DC2412" w:rsidP="006F33F3">
      <w:pPr>
        <w:pStyle w:val="En-tte"/>
        <w:numPr>
          <w:ilvl w:val="0"/>
          <w:numId w:val="22"/>
        </w:numPr>
        <w:spacing w:after="120" w:line="360" w:lineRule="auto"/>
        <w:jc w:val="both"/>
        <w:rPr>
          <w:rFonts w:ascii="Arial Narrow" w:hAnsi="Arial Narrow"/>
        </w:rPr>
      </w:pPr>
      <w:r w:rsidRPr="00F1664C">
        <w:rPr>
          <w:rFonts w:ascii="Arial Narrow" w:hAnsi="Arial Narrow"/>
        </w:rPr>
        <w:t xml:space="preserve">Délais d’exécution et méthodologie d’installation </w:t>
      </w:r>
    </w:p>
    <w:p w14:paraId="7585D085" w14:textId="01AC468A" w:rsidR="006F33F3" w:rsidRDefault="005D59A8" w:rsidP="00347265">
      <w:pPr>
        <w:pStyle w:val="En-tte"/>
        <w:numPr>
          <w:ilvl w:val="0"/>
          <w:numId w:val="22"/>
        </w:numPr>
        <w:spacing w:after="120" w:line="360" w:lineRule="auto"/>
        <w:jc w:val="both"/>
        <w:rPr>
          <w:rFonts w:ascii="Arial Narrow" w:hAnsi="Arial Narrow"/>
        </w:rPr>
      </w:pPr>
      <w:r w:rsidRPr="00F1664C">
        <w:rPr>
          <w:rFonts w:ascii="Arial Narrow" w:hAnsi="Arial Narrow"/>
        </w:rPr>
        <w:t>Aspects environnementaux</w:t>
      </w:r>
      <w:r w:rsidR="00685F5F" w:rsidRPr="00F1664C">
        <w:rPr>
          <w:rFonts w:ascii="Arial Narrow" w:hAnsi="Arial Narrow"/>
        </w:rPr>
        <w:t xml:space="preserve"> </w:t>
      </w:r>
      <w:r w:rsidRPr="00F1664C">
        <w:rPr>
          <w:rFonts w:ascii="Arial Narrow" w:hAnsi="Arial Narrow"/>
        </w:rPr>
        <w:t>: d</w:t>
      </w:r>
      <w:r w:rsidR="00DC2412" w:rsidRPr="00F1664C">
        <w:rPr>
          <w:rFonts w:ascii="Arial Narrow" w:hAnsi="Arial Narrow"/>
        </w:rPr>
        <w:t xml:space="preserve">urabilité et </w:t>
      </w:r>
      <w:proofErr w:type="spellStart"/>
      <w:r w:rsidR="00DC2412" w:rsidRPr="00F1664C">
        <w:rPr>
          <w:rFonts w:ascii="Arial Narrow" w:hAnsi="Arial Narrow"/>
        </w:rPr>
        <w:t>éco-conception</w:t>
      </w:r>
      <w:proofErr w:type="spellEnd"/>
      <w:r w:rsidRPr="00F1664C">
        <w:rPr>
          <w:rFonts w:ascii="Arial Narrow" w:hAnsi="Arial Narrow"/>
        </w:rPr>
        <w:t xml:space="preserve"> du dispositif, réduction des emballages, limitation des impacts environnementaux de la livraison</w:t>
      </w:r>
      <w:r w:rsidR="00C17976" w:rsidRPr="00F1664C">
        <w:rPr>
          <w:rFonts w:ascii="Arial Narrow" w:hAnsi="Arial Narrow"/>
        </w:rPr>
        <w:t>, garantie et politique d’entretien ou de remplacement</w:t>
      </w:r>
    </w:p>
    <w:p w14:paraId="491ABA41" w14:textId="640F4066" w:rsidR="00E71777" w:rsidRPr="00F1664C" w:rsidRDefault="00E71777" w:rsidP="00E71777">
      <w:pPr>
        <w:pStyle w:val="En-tte"/>
        <w:spacing w:after="120" w:line="360" w:lineRule="auto"/>
        <w:jc w:val="both"/>
        <w:rPr>
          <w:rFonts w:ascii="Arial Narrow" w:hAnsi="Arial Narrow"/>
        </w:rPr>
      </w:pPr>
      <w:r>
        <w:rPr>
          <w:rFonts w:ascii="Arial Narrow" w:hAnsi="Arial Narrow"/>
        </w:rPr>
        <w:t xml:space="preserve">Les pondérations des critères seront modulées selon la technicité des dispositifs commandés. </w:t>
      </w:r>
    </w:p>
    <w:p w14:paraId="6048D28B" w14:textId="750B712E" w:rsidR="005D555E" w:rsidRPr="00546FE0" w:rsidRDefault="005D555E" w:rsidP="00685F5F">
      <w:pPr>
        <w:pStyle w:val="En-tte"/>
        <w:tabs>
          <w:tab w:val="clear" w:pos="4536"/>
          <w:tab w:val="clear" w:pos="9072"/>
        </w:tabs>
        <w:spacing w:line="360" w:lineRule="auto"/>
        <w:jc w:val="both"/>
        <w:rPr>
          <w:rFonts w:ascii="Arial Narrow" w:hAnsi="Arial Narrow"/>
        </w:rPr>
      </w:pPr>
      <w:r w:rsidRPr="00546FE0">
        <w:rPr>
          <w:rFonts w:ascii="Arial Narrow" w:hAnsi="Arial Narrow"/>
        </w:rPr>
        <w:t xml:space="preserve">La méthode de notation pour les critères et sous-critères techniques est la suivante :   </w:t>
      </w:r>
    </w:p>
    <w:p w14:paraId="64C201C6" w14:textId="77777777" w:rsidR="006528A6" w:rsidRPr="00546FE0" w:rsidRDefault="006528A6" w:rsidP="008C6D06">
      <w:pPr>
        <w:pStyle w:val="En-tte"/>
        <w:numPr>
          <w:ilvl w:val="0"/>
          <w:numId w:val="3"/>
        </w:numPr>
        <w:tabs>
          <w:tab w:val="clear" w:pos="4536"/>
          <w:tab w:val="clear" w:pos="9072"/>
        </w:tabs>
        <w:spacing w:line="276" w:lineRule="auto"/>
        <w:jc w:val="both"/>
        <w:rPr>
          <w:rFonts w:ascii="Arial Narrow" w:hAnsi="Arial Narrow"/>
        </w:rPr>
      </w:pPr>
      <w:proofErr w:type="gramStart"/>
      <w:r w:rsidRPr="00546FE0">
        <w:rPr>
          <w:rFonts w:ascii="Arial Narrow" w:hAnsi="Arial Narrow"/>
        </w:rPr>
        <w:t>si</w:t>
      </w:r>
      <w:proofErr w:type="gramEnd"/>
      <w:r w:rsidRPr="00546FE0">
        <w:rPr>
          <w:rFonts w:ascii="Arial Narrow" w:hAnsi="Arial Narrow"/>
        </w:rPr>
        <w:t xml:space="preserve"> le titulaire ne répond pas, il obtient 0 point </w:t>
      </w:r>
    </w:p>
    <w:p w14:paraId="01CAFCA0" w14:textId="77777777" w:rsidR="006528A6" w:rsidRPr="00546FE0" w:rsidRDefault="006528A6" w:rsidP="008C6D06">
      <w:pPr>
        <w:pStyle w:val="En-tte"/>
        <w:numPr>
          <w:ilvl w:val="0"/>
          <w:numId w:val="3"/>
        </w:numPr>
        <w:tabs>
          <w:tab w:val="clear" w:pos="4536"/>
          <w:tab w:val="clear" w:pos="9072"/>
        </w:tabs>
        <w:spacing w:line="276" w:lineRule="auto"/>
        <w:jc w:val="both"/>
        <w:rPr>
          <w:rFonts w:ascii="Arial Narrow" w:hAnsi="Arial Narrow"/>
        </w:rPr>
      </w:pPr>
      <w:proofErr w:type="gramStart"/>
      <w:r w:rsidRPr="00546FE0">
        <w:rPr>
          <w:rFonts w:ascii="Arial Narrow" w:hAnsi="Arial Narrow"/>
        </w:rPr>
        <w:t>si</w:t>
      </w:r>
      <w:proofErr w:type="gramEnd"/>
      <w:r w:rsidRPr="00546FE0">
        <w:rPr>
          <w:rFonts w:ascii="Arial Narrow" w:hAnsi="Arial Narrow"/>
        </w:rPr>
        <w:t xml:space="preserve"> le titulaire répond de façon peu satisfaisante, il obtient 1 point ;</w:t>
      </w:r>
    </w:p>
    <w:p w14:paraId="634A249E" w14:textId="77777777" w:rsidR="006528A6" w:rsidRPr="00546FE0" w:rsidRDefault="006528A6" w:rsidP="008C6D06">
      <w:pPr>
        <w:pStyle w:val="En-tte"/>
        <w:numPr>
          <w:ilvl w:val="0"/>
          <w:numId w:val="3"/>
        </w:numPr>
        <w:tabs>
          <w:tab w:val="clear" w:pos="4536"/>
          <w:tab w:val="clear" w:pos="9072"/>
        </w:tabs>
        <w:spacing w:line="276" w:lineRule="auto"/>
        <w:jc w:val="both"/>
        <w:rPr>
          <w:rFonts w:ascii="Arial Narrow" w:hAnsi="Arial Narrow"/>
        </w:rPr>
      </w:pPr>
      <w:proofErr w:type="gramStart"/>
      <w:r w:rsidRPr="00546FE0">
        <w:rPr>
          <w:rFonts w:ascii="Arial Narrow" w:hAnsi="Arial Narrow"/>
        </w:rPr>
        <w:t>si</w:t>
      </w:r>
      <w:proofErr w:type="gramEnd"/>
      <w:r w:rsidRPr="00546FE0">
        <w:rPr>
          <w:rFonts w:ascii="Arial Narrow" w:hAnsi="Arial Narrow"/>
        </w:rPr>
        <w:t xml:space="preserve"> le titulaire répond de façon assez satisfaisante, il obtient 2 points ;</w:t>
      </w:r>
    </w:p>
    <w:p w14:paraId="2E6BBED5" w14:textId="77777777" w:rsidR="006528A6" w:rsidRPr="00546FE0" w:rsidRDefault="006528A6" w:rsidP="008C6D06">
      <w:pPr>
        <w:pStyle w:val="En-tte"/>
        <w:numPr>
          <w:ilvl w:val="0"/>
          <w:numId w:val="3"/>
        </w:numPr>
        <w:tabs>
          <w:tab w:val="clear" w:pos="4536"/>
          <w:tab w:val="clear" w:pos="9072"/>
        </w:tabs>
        <w:spacing w:line="276" w:lineRule="auto"/>
        <w:jc w:val="both"/>
        <w:rPr>
          <w:rFonts w:ascii="Arial Narrow" w:hAnsi="Arial Narrow"/>
        </w:rPr>
      </w:pPr>
      <w:proofErr w:type="gramStart"/>
      <w:r w:rsidRPr="00546FE0">
        <w:rPr>
          <w:rFonts w:ascii="Arial Narrow" w:hAnsi="Arial Narrow"/>
        </w:rPr>
        <w:t>si</w:t>
      </w:r>
      <w:proofErr w:type="gramEnd"/>
      <w:r w:rsidRPr="00546FE0">
        <w:rPr>
          <w:rFonts w:ascii="Arial Narrow" w:hAnsi="Arial Narrow"/>
        </w:rPr>
        <w:t xml:space="preserve"> le titulaire répond de façon satisfaisante, il obtient 3 points ;</w:t>
      </w:r>
    </w:p>
    <w:p w14:paraId="7684BE67" w14:textId="77777777" w:rsidR="006528A6" w:rsidRPr="00546FE0" w:rsidRDefault="006528A6" w:rsidP="008C6D06">
      <w:pPr>
        <w:pStyle w:val="En-tte"/>
        <w:numPr>
          <w:ilvl w:val="0"/>
          <w:numId w:val="3"/>
        </w:numPr>
        <w:tabs>
          <w:tab w:val="clear" w:pos="4536"/>
          <w:tab w:val="clear" w:pos="9072"/>
        </w:tabs>
        <w:spacing w:line="276" w:lineRule="auto"/>
        <w:jc w:val="both"/>
        <w:rPr>
          <w:rFonts w:ascii="Arial Narrow" w:hAnsi="Arial Narrow"/>
        </w:rPr>
      </w:pPr>
      <w:proofErr w:type="gramStart"/>
      <w:r w:rsidRPr="00546FE0">
        <w:rPr>
          <w:rFonts w:ascii="Arial Narrow" w:hAnsi="Arial Narrow"/>
        </w:rPr>
        <w:t>si</w:t>
      </w:r>
      <w:proofErr w:type="gramEnd"/>
      <w:r w:rsidRPr="00546FE0">
        <w:rPr>
          <w:rFonts w:ascii="Arial Narrow" w:hAnsi="Arial Narrow"/>
        </w:rPr>
        <w:t xml:space="preserve"> le titulaire répond de façon très satisfaisante, il obtient 4 points ;</w:t>
      </w:r>
    </w:p>
    <w:p w14:paraId="2F9BCE9D" w14:textId="1559C86C" w:rsidR="006F33F3" w:rsidRPr="006F33F3" w:rsidRDefault="006528A6" w:rsidP="006F33F3">
      <w:pPr>
        <w:pStyle w:val="En-tte"/>
        <w:numPr>
          <w:ilvl w:val="0"/>
          <w:numId w:val="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si</w:t>
      </w:r>
      <w:proofErr w:type="gramEnd"/>
      <w:r w:rsidRPr="00546FE0">
        <w:rPr>
          <w:rFonts w:ascii="Arial Narrow" w:hAnsi="Arial Narrow"/>
        </w:rPr>
        <w:t xml:space="preserve"> le titulaire répond de façon excellente, il obtient 5 points.</w:t>
      </w:r>
    </w:p>
    <w:p w14:paraId="74194EB2" w14:textId="58D0802A" w:rsidR="006F33F3" w:rsidRDefault="006F33F3" w:rsidP="006F33F3">
      <w:pPr>
        <w:pStyle w:val="En-tte"/>
        <w:spacing w:after="120" w:line="360" w:lineRule="auto"/>
        <w:jc w:val="both"/>
        <w:rPr>
          <w:rFonts w:ascii="Arial Narrow" w:hAnsi="Arial Narrow"/>
        </w:rPr>
      </w:pPr>
      <w:r w:rsidRPr="006F33F3">
        <w:rPr>
          <w:rFonts w:ascii="Arial Narrow" w:hAnsi="Arial Narrow"/>
        </w:rPr>
        <w:lastRenderedPageBreak/>
        <w:t xml:space="preserve">Les offres parviendront au plus tard à la date et à l’heure limite dûment indiquée dans la consultation ou sous peine de rejet de l’offre. Les offres seront adressées via </w:t>
      </w:r>
      <w:r>
        <w:rPr>
          <w:rFonts w:ascii="Arial Narrow" w:hAnsi="Arial Narrow"/>
        </w:rPr>
        <w:t>PLACE</w:t>
      </w:r>
      <w:r w:rsidRPr="006F33F3">
        <w:rPr>
          <w:rFonts w:ascii="Arial Narrow" w:hAnsi="Arial Narrow"/>
        </w:rPr>
        <w:t>.</w:t>
      </w:r>
      <w:r>
        <w:rPr>
          <w:rFonts w:ascii="Arial Narrow" w:hAnsi="Arial Narrow"/>
        </w:rPr>
        <w:t xml:space="preserve"> </w:t>
      </w:r>
      <w:r w:rsidRPr="006F33F3">
        <w:rPr>
          <w:rFonts w:ascii="Arial Narrow" w:hAnsi="Arial Narrow"/>
        </w:rPr>
        <w:t xml:space="preserve">Le contenu des offres restera confidentiel jusqu’à l’expiration du délai prévu pour le dépôt. </w:t>
      </w:r>
    </w:p>
    <w:p w14:paraId="633F5137" w14:textId="4C415869" w:rsidR="009907B3" w:rsidRPr="00546FE0" w:rsidRDefault="009907B3" w:rsidP="009907B3">
      <w:pPr>
        <w:pStyle w:val="En-tte"/>
        <w:numPr>
          <w:ilvl w:val="0"/>
          <w:numId w:val="11"/>
        </w:numPr>
        <w:spacing w:after="120" w:line="360" w:lineRule="auto"/>
        <w:rPr>
          <w:rFonts w:ascii="Arial Narrow" w:hAnsi="Arial Narrow"/>
        </w:rPr>
      </w:pPr>
      <w:r>
        <w:rPr>
          <w:rFonts w:ascii="Arial Narrow" w:hAnsi="Arial Narrow"/>
          <w:u w:val="single"/>
        </w:rPr>
        <w:t xml:space="preserve">Des négociations pourront être effectuées avec l’ensemble des titulaires </w:t>
      </w:r>
      <w:r w:rsidRPr="00546FE0">
        <w:rPr>
          <w:rFonts w:ascii="Arial Narrow" w:hAnsi="Arial Narrow"/>
        </w:rPr>
        <w:t xml:space="preserve">: </w:t>
      </w:r>
    </w:p>
    <w:p w14:paraId="51D1A133" w14:textId="7108088D" w:rsidR="009907B3" w:rsidRPr="006F33F3" w:rsidRDefault="009907B3" w:rsidP="009907B3">
      <w:pPr>
        <w:pStyle w:val="Corpsdetexte"/>
        <w:spacing w:after="240"/>
        <w:rPr>
          <w:rFonts w:ascii="Arial Narrow" w:hAnsi="Arial Narrow"/>
        </w:rPr>
      </w:pPr>
      <w:r>
        <w:rPr>
          <w:rFonts w:ascii="Arial Narrow" w:hAnsi="Arial Narrow"/>
        </w:rPr>
        <w:t xml:space="preserve">Après analyse des offres, l’EPMO-VGE pourra engager des négociations techniques et/ou financières avec </w:t>
      </w:r>
      <w:r w:rsidR="00E46FED">
        <w:rPr>
          <w:rFonts w:ascii="Arial Narrow" w:hAnsi="Arial Narrow"/>
        </w:rPr>
        <w:t>tous les soumissionnaires</w:t>
      </w:r>
      <w:r>
        <w:rPr>
          <w:rFonts w:ascii="Arial Narrow" w:hAnsi="Arial Narrow"/>
        </w:rPr>
        <w:t xml:space="preserve">. Les demandes seront envoyées par voie électronique sur la plateforme PLACE. Les négociations pourront se faire par écrit, en réunion physique ou en visioconférence. </w:t>
      </w:r>
      <w:r w:rsidRPr="003E63FD">
        <w:rPr>
          <w:rFonts w:ascii="Arial Narrow" w:hAnsi="Arial Narrow"/>
        </w:rPr>
        <w:t>L’offre négociée remise par le soumissionnaire dans le délai fixé, sera analysée et classée. En l'absence de réponse à la demande de négociation dans le délai fixé, l’offre initiale sera prise en compte pour l'analyse.</w:t>
      </w:r>
      <w:r>
        <w:rPr>
          <w:rFonts w:ascii="Arial Narrow" w:hAnsi="Arial Narrow"/>
        </w:rPr>
        <w:t xml:space="preserve"> </w:t>
      </w:r>
      <w:r w:rsidRPr="003E63FD">
        <w:rPr>
          <w:rFonts w:ascii="Arial Narrow" w:hAnsi="Arial Narrow"/>
        </w:rPr>
        <w:t>L’établissement se réserve toutefois la possibilité de ne pas négocier.</w:t>
      </w:r>
    </w:p>
    <w:p w14:paraId="19D70142" w14:textId="77777777" w:rsidR="00D20371" w:rsidRPr="00D20371" w:rsidRDefault="00D20371" w:rsidP="00D20371">
      <w:pPr>
        <w:pStyle w:val="En-tte"/>
        <w:numPr>
          <w:ilvl w:val="0"/>
          <w:numId w:val="11"/>
        </w:numPr>
        <w:spacing w:after="120" w:line="360" w:lineRule="auto"/>
        <w:rPr>
          <w:rFonts w:ascii="Arial Narrow" w:hAnsi="Arial Narrow"/>
        </w:rPr>
      </w:pPr>
      <w:r>
        <w:rPr>
          <w:rFonts w:ascii="Arial Narrow" w:hAnsi="Arial Narrow"/>
          <w:u w:val="single"/>
        </w:rPr>
        <w:t xml:space="preserve">Issue de la consultation : </w:t>
      </w:r>
    </w:p>
    <w:p w14:paraId="13EA3F1C" w14:textId="105A3AF8" w:rsidR="006F33F3" w:rsidRPr="00546FE0" w:rsidRDefault="006F33F3" w:rsidP="00D20371">
      <w:pPr>
        <w:pStyle w:val="En-tte"/>
        <w:spacing w:after="120" w:line="360" w:lineRule="auto"/>
        <w:rPr>
          <w:rFonts w:ascii="Arial Narrow" w:hAnsi="Arial Narrow"/>
        </w:rPr>
      </w:pPr>
      <w:r w:rsidRPr="00D20371">
        <w:rPr>
          <w:rFonts w:ascii="Arial Narrow" w:hAnsi="Arial Narrow"/>
        </w:rPr>
        <w:t>À l’issue de chaque remise en concurrence, les titulaires non retenus recevront un courrier portant rejet de l’offre par le représentant du pouvoir adjudicateur, transmis par courrier électronique.</w:t>
      </w:r>
      <w:r w:rsidR="00D20371">
        <w:rPr>
          <w:rFonts w:ascii="Arial Narrow" w:hAnsi="Arial Narrow"/>
        </w:rPr>
        <w:t xml:space="preserve"> </w:t>
      </w:r>
      <w:r w:rsidRPr="006F33F3">
        <w:rPr>
          <w:rFonts w:ascii="Arial Narrow" w:hAnsi="Arial Narrow"/>
        </w:rPr>
        <w:t>Chaque marché subséquent sera notifié par courriel au titulaire retenu.</w:t>
      </w:r>
    </w:p>
    <w:p w14:paraId="7BDFB89C" w14:textId="77777777" w:rsidR="005D555E" w:rsidRPr="00546FE0" w:rsidRDefault="005D555E" w:rsidP="00D9355E">
      <w:pPr>
        <w:pStyle w:val="En-tte"/>
        <w:tabs>
          <w:tab w:val="clear" w:pos="4536"/>
          <w:tab w:val="clear" w:pos="9072"/>
        </w:tabs>
        <w:spacing w:after="120" w:line="360" w:lineRule="auto"/>
        <w:jc w:val="both"/>
        <w:rPr>
          <w:rFonts w:ascii="Arial Narrow" w:hAnsi="Arial Narrow"/>
        </w:rPr>
      </w:pPr>
    </w:p>
    <w:p w14:paraId="50BA40E4" w14:textId="77777777" w:rsidR="00347265" w:rsidRPr="00546FE0" w:rsidRDefault="0034726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ADMISSION DES PRESTATIONS</w:t>
      </w:r>
    </w:p>
    <w:p w14:paraId="14584D5D" w14:textId="39180897" w:rsidR="00347265"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L’admission des prestations s’effectuera dans les conditions fixées à l’article 30 du CCAG-FCS. </w:t>
      </w:r>
    </w:p>
    <w:p w14:paraId="6A0E54FB" w14:textId="77777777" w:rsidR="003B775D" w:rsidRPr="00546FE0" w:rsidRDefault="003B775D" w:rsidP="00D9355E">
      <w:pPr>
        <w:pStyle w:val="En-tte"/>
        <w:tabs>
          <w:tab w:val="clear" w:pos="4536"/>
          <w:tab w:val="clear" w:pos="9072"/>
        </w:tabs>
        <w:spacing w:after="120" w:line="360" w:lineRule="auto"/>
        <w:jc w:val="both"/>
        <w:rPr>
          <w:rFonts w:ascii="Arial Narrow" w:hAnsi="Arial Narrow"/>
        </w:rPr>
      </w:pPr>
    </w:p>
    <w:p w14:paraId="0451B175" w14:textId="2D813A11"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PROPRIETE INTELLECTUELLE</w:t>
      </w:r>
      <w:r w:rsidR="001526C8">
        <w:rPr>
          <w:rFonts w:ascii="Arial Narrow" w:hAnsi="Arial Narrow"/>
          <w:b/>
        </w:rPr>
        <w:t xml:space="preserve"> </w:t>
      </w:r>
    </w:p>
    <w:p w14:paraId="4D118276" w14:textId="7EDA63D2" w:rsidR="0081396B" w:rsidRDefault="0081396B" w:rsidP="00D9355E">
      <w:pPr>
        <w:pStyle w:val="En-tte"/>
        <w:tabs>
          <w:tab w:val="clear" w:pos="4536"/>
          <w:tab w:val="clear" w:pos="9072"/>
        </w:tabs>
        <w:spacing w:after="120" w:line="360" w:lineRule="auto"/>
        <w:jc w:val="both"/>
        <w:rPr>
          <w:rFonts w:ascii="Arial Narrow" w:hAnsi="Arial Narrow"/>
        </w:rPr>
      </w:pPr>
      <w:r w:rsidRPr="009907B3">
        <w:rPr>
          <w:rFonts w:ascii="Arial Narrow" w:hAnsi="Arial Narrow"/>
        </w:rPr>
        <w:t>Il est fait application du chapitre 6 du CCAG-FCS.</w:t>
      </w:r>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CONFIDENTIALITE ET PROTECTION DES DONNEES</w:t>
      </w:r>
    </w:p>
    <w:p w14:paraId="167ABEDD" w14:textId="45FB8537" w:rsidR="0081396B"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CCAG-FCS.</w:t>
      </w:r>
    </w:p>
    <w:p w14:paraId="5D326D2A" w14:textId="77777777" w:rsidR="009907B3" w:rsidRPr="00546FE0" w:rsidRDefault="009907B3" w:rsidP="00D9355E">
      <w:pPr>
        <w:pStyle w:val="En-tte"/>
        <w:tabs>
          <w:tab w:val="clear" w:pos="4536"/>
          <w:tab w:val="clear" w:pos="9072"/>
        </w:tabs>
        <w:spacing w:after="120" w:line="360" w:lineRule="auto"/>
        <w:jc w:val="both"/>
        <w:rPr>
          <w:rFonts w:ascii="Arial Narrow" w:hAnsi="Arial Narrow"/>
        </w:rPr>
      </w:pPr>
    </w:p>
    <w:p w14:paraId="128C9E26" w14:textId="0FB84883" w:rsidR="00874D6C" w:rsidRPr="00546FE0" w:rsidRDefault="00874D6C" w:rsidP="00874D6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RESPONSABILITE SOCIETALE</w:t>
      </w:r>
      <w:r w:rsidR="00C258DB">
        <w:rPr>
          <w:rFonts w:ascii="Arial Narrow" w:hAnsi="Arial Narrow"/>
          <w:b/>
        </w:rPr>
        <w:t xml:space="preserve"> DES ORGANISATIONS</w:t>
      </w:r>
    </w:p>
    <w:p w14:paraId="379BDF70" w14:textId="429938EB" w:rsidR="00874D6C" w:rsidRDefault="00874D6C" w:rsidP="00874D6C">
      <w:pPr>
        <w:pStyle w:val="En-tte"/>
        <w:tabs>
          <w:tab w:val="clear" w:pos="4536"/>
          <w:tab w:val="clear" w:pos="9072"/>
        </w:tabs>
        <w:spacing w:after="120" w:line="360" w:lineRule="auto"/>
        <w:jc w:val="both"/>
        <w:rPr>
          <w:rFonts w:ascii="Arial Narrow" w:hAnsi="Arial Narrow"/>
        </w:rPr>
      </w:pPr>
      <w:r w:rsidRPr="00546FE0">
        <w:rPr>
          <w:rFonts w:ascii="Arial Narrow" w:hAnsi="Arial Narrow"/>
        </w:rPr>
        <w:t>L’</w:t>
      </w:r>
      <w:r w:rsidR="00590216">
        <w:rPr>
          <w:rFonts w:ascii="Arial Narrow" w:hAnsi="Arial Narrow"/>
        </w:rPr>
        <w:t>EPMO-VGE</w:t>
      </w:r>
      <w:r w:rsidRPr="00546FE0">
        <w:rPr>
          <w:rFonts w:ascii="Arial Narrow" w:hAnsi="Arial Narrow"/>
        </w:rPr>
        <w:t xml:space="preserve"> est engagé dans une démarche de responsabilité sociétale ambitieuse inscrite dans le cœur de ses missions de service public et décrite dans la Stratégie RSO </w:t>
      </w:r>
      <w:r w:rsidR="00C258DB">
        <w:rPr>
          <w:rFonts w:ascii="Arial Narrow" w:hAnsi="Arial Narrow"/>
        </w:rPr>
        <w:t>2025-2030</w:t>
      </w:r>
      <w:r w:rsidRPr="00546FE0">
        <w:rPr>
          <w:rFonts w:ascii="Arial Narrow" w:hAnsi="Arial Narrow"/>
        </w:rPr>
        <w:t xml:space="preserve"> disponible </w:t>
      </w:r>
      <w:r>
        <w:rPr>
          <w:rFonts w:ascii="Arial Narrow" w:hAnsi="Arial Narrow"/>
        </w:rPr>
        <w:t>sur demande. Cette démarche recouvre l’ensemble des missions de l’Etablissement ; elle a pour objet l’intégration systématique des enjeux sociaux et environnementaux dans</w:t>
      </w:r>
      <w:r w:rsidR="00770306">
        <w:rPr>
          <w:rFonts w:ascii="Arial Narrow" w:hAnsi="Arial Narrow"/>
        </w:rPr>
        <w:t xml:space="preserve"> toutes les activités. L’</w:t>
      </w:r>
      <w:r w:rsidR="00590216">
        <w:rPr>
          <w:rFonts w:ascii="Arial Narrow" w:hAnsi="Arial Narrow"/>
        </w:rPr>
        <w:t>EPMO-VGE</w:t>
      </w:r>
      <w:r>
        <w:rPr>
          <w:rFonts w:ascii="Arial Narrow" w:hAnsi="Arial Narrow"/>
        </w:rPr>
        <w:t xml:space="preserve"> s’inscrit entre autres dans la transition écologique à travers trois axes d’action principaux : sobriété énergétique, décarbonation, économie circulaire. </w:t>
      </w:r>
    </w:p>
    <w:p w14:paraId="71D79809" w14:textId="413444F5" w:rsidR="00874D6C" w:rsidRPr="00546FE0" w:rsidRDefault="00770306" w:rsidP="00874D6C">
      <w:pPr>
        <w:pStyle w:val="En-tte"/>
        <w:tabs>
          <w:tab w:val="clear" w:pos="4536"/>
          <w:tab w:val="clear" w:pos="9072"/>
        </w:tabs>
        <w:spacing w:after="120" w:line="360" w:lineRule="auto"/>
        <w:jc w:val="both"/>
        <w:rPr>
          <w:rFonts w:ascii="Arial Narrow" w:hAnsi="Arial Narrow"/>
        </w:rPr>
      </w:pPr>
      <w:r>
        <w:rPr>
          <w:rFonts w:ascii="Arial Narrow" w:hAnsi="Arial Narrow"/>
        </w:rPr>
        <w:lastRenderedPageBreak/>
        <w:t>L’</w:t>
      </w:r>
      <w:r w:rsidR="00590216">
        <w:rPr>
          <w:rFonts w:ascii="Arial Narrow" w:hAnsi="Arial Narrow"/>
        </w:rPr>
        <w:t>EPMO-VGE</w:t>
      </w:r>
      <w:r w:rsidR="00874D6C">
        <w:rPr>
          <w:rFonts w:ascii="Arial Narrow" w:hAnsi="Arial Narrow"/>
        </w:rPr>
        <w:t xml:space="preserve"> œuvre à limiter l’impact de ses activités sur l’environnement notamment en promouvant un </w:t>
      </w:r>
      <w:r w:rsidR="00874D6C"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76F094FE" w14:textId="672BB520" w:rsidR="00874D6C" w:rsidRDefault="00874D6C" w:rsidP="00874D6C">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12D0803E" w14:textId="77777777" w:rsidR="00D20371" w:rsidRDefault="00D20371" w:rsidP="00874D6C">
      <w:pPr>
        <w:pStyle w:val="En-tte"/>
        <w:tabs>
          <w:tab w:val="clear" w:pos="4536"/>
          <w:tab w:val="clear" w:pos="9072"/>
        </w:tabs>
        <w:spacing w:after="120" w:line="360" w:lineRule="auto"/>
        <w:jc w:val="both"/>
        <w:rPr>
          <w:rFonts w:ascii="Arial Narrow" w:hAnsi="Arial Narrow"/>
        </w:rPr>
      </w:pPr>
    </w:p>
    <w:p w14:paraId="1BAEE666" w14:textId="267DE815" w:rsidR="00D20371" w:rsidRPr="00D20371" w:rsidRDefault="00EE65EC" w:rsidP="00E41FB9">
      <w:pPr>
        <w:pStyle w:val="En-tte"/>
        <w:numPr>
          <w:ilvl w:val="1"/>
          <w:numId w:val="27"/>
        </w:numPr>
        <w:tabs>
          <w:tab w:val="clear" w:pos="4536"/>
          <w:tab w:val="clear" w:pos="9072"/>
        </w:tabs>
        <w:spacing w:after="240" w:line="360" w:lineRule="auto"/>
        <w:jc w:val="both"/>
        <w:rPr>
          <w:rFonts w:ascii="Arial Narrow" w:hAnsi="Arial Narrow"/>
          <w:b/>
        </w:rPr>
      </w:pPr>
      <w:r w:rsidRPr="00546FE0">
        <w:rPr>
          <w:rFonts w:ascii="Arial Narrow" w:hAnsi="Arial Narrow"/>
          <w:b/>
        </w:rPr>
        <w:t>Protection de l’environnement</w:t>
      </w:r>
    </w:p>
    <w:p w14:paraId="617ED410" w14:textId="411C07DB" w:rsidR="00D20371" w:rsidRDefault="00D20371" w:rsidP="00D9355E">
      <w:pPr>
        <w:pStyle w:val="En-tte"/>
        <w:tabs>
          <w:tab w:val="clear" w:pos="4536"/>
          <w:tab w:val="clear" w:pos="9072"/>
        </w:tabs>
        <w:spacing w:after="120" w:line="360" w:lineRule="auto"/>
        <w:jc w:val="both"/>
        <w:rPr>
          <w:rFonts w:ascii="Arial Narrow" w:hAnsi="Arial Narrow"/>
        </w:rPr>
      </w:pPr>
      <w:r w:rsidRPr="00D20371">
        <w:rPr>
          <w:rFonts w:ascii="Arial Narrow" w:hAnsi="Arial Narrow"/>
        </w:rPr>
        <w:t xml:space="preserve">Pour chaque élément visé par la clause, le soumissionnaire devra </w:t>
      </w:r>
      <w:r w:rsidR="00AB296F">
        <w:rPr>
          <w:rFonts w:ascii="Arial Narrow" w:hAnsi="Arial Narrow"/>
        </w:rPr>
        <w:t>indiquer à chaque marché subséquent</w:t>
      </w:r>
      <w:r w:rsidRPr="00D20371">
        <w:rPr>
          <w:rFonts w:ascii="Arial Narrow" w:hAnsi="Arial Narrow"/>
        </w:rPr>
        <w:t xml:space="preserve"> les éléments</w:t>
      </w:r>
      <w:r w:rsidR="00AB296F">
        <w:rPr>
          <w:rFonts w:ascii="Arial Narrow" w:hAnsi="Arial Narrow"/>
        </w:rPr>
        <w:t xml:space="preserve"> de réponses</w:t>
      </w:r>
      <w:r w:rsidRPr="00D20371">
        <w:rPr>
          <w:rFonts w:ascii="Arial Narrow" w:hAnsi="Arial Narrow"/>
        </w:rPr>
        <w:t xml:space="preserve"> correspondants.</w:t>
      </w:r>
    </w:p>
    <w:p w14:paraId="2FE07D91" w14:textId="2869870D" w:rsidR="00D20371" w:rsidRPr="00D20371" w:rsidRDefault="00D20371" w:rsidP="00D20371">
      <w:pPr>
        <w:pStyle w:val="En-tte"/>
        <w:numPr>
          <w:ilvl w:val="0"/>
          <w:numId w:val="24"/>
        </w:numPr>
        <w:tabs>
          <w:tab w:val="clear" w:pos="4536"/>
          <w:tab w:val="clear" w:pos="9072"/>
        </w:tabs>
        <w:spacing w:after="120" w:line="360" w:lineRule="auto"/>
        <w:jc w:val="both"/>
        <w:rPr>
          <w:rFonts w:ascii="Arial Narrow" w:hAnsi="Arial Narrow"/>
          <w:u w:val="single"/>
        </w:rPr>
      </w:pPr>
      <w:r w:rsidRPr="00D20371">
        <w:rPr>
          <w:rFonts w:ascii="Arial Narrow" w:hAnsi="Arial Narrow"/>
          <w:u w:val="single"/>
        </w:rPr>
        <w:t xml:space="preserve">Réduction des emballages </w:t>
      </w:r>
    </w:p>
    <w:p w14:paraId="2CA336FC" w14:textId="77777777" w:rsidR="00D20371" w:rsidRPr="00D20371" w:rsidRDefault="00D20371" w:rsidP="00D20371">
      <w:pPr>
        <w:pStyle w:val="En-tte"/>
        <w:spacing w:after="120" w:line="360" w:lineRule="auto"/>
        <w:jc w:val="both"/>
        <w:rPr>
          <w:rFonts w:ascii="Arial Narrow" w:hAnsi="Arial Narrow"/>
        </w:rPr>
      </w:pPr>
      <w:r w:rsidRPr="00D20371">
        <w:rPr>
          <w:rFonts w:ascii="Arial Narrow" w:hAnsi="Arial Narrow"/>
        </w:rPr>
        <w:t>La qualité des emballages doit être appropriée aux conditions et modalités de transport. Dans la mesure du possible, le titulaire veille à utiliser des contenants réutilisés ou réutilisables, recyclés ou recyclables, à privilégier la livraison en vrac plutôt qu'en unité distincte.</w:t>
      </w:r>
    </w:p>
    <w:p w14:paraId="0C813D43" w14:textId="77777777" w:rsidR="00D20371" w:rsidRPr="00D20371" w:rsidRDefault="00D20371" w:rsidP="00D20371">
      <w:pPr>
        <w:pStyle w:val="En-tte"/>
        <w:spacing w:after="120" w:line="360" w:lineRule="auto"/>
        <w:jc w:val="both"/>
        <w:rPr>
          <w:rFonts w:ascii="Arial Narrow" w:hAnsi="Arial Narrow"/>
        </w:rPr>
      </w:pPr>
      <w:r w:rsidRPr="00D20371">
        <w:rPr>
          <w:rFonts w:ascii="Arial Narrow" w:hAnsi="Arial Narrow"/>
        </w:rPr>
        <w:t>Le titulaire s'engage à respecter les obligations légales de la Responsabilité Élargie du Producteur (REP) qui vise à assumer la responsabilité de la gestion des déchets (emballages) générés par les produits fournis dans le cadre du présent marché.</w:t>
      </w:r>
    </w:p>
    <w:p w14:paraId="47F27085" w14:textId="77777777" w:rsidR="00D20371" w:rsidRPr="00D20371" w:rsidRDefault="00D20371" w:rsidP="00D20371">
      <w:pPr>
        <w:pStyle w:val="En-tte"/>
        <w:numPr>
          <w:ilvl w:val="0"/>
          <w:numId w:val="24"/>
        </w:numPr>
        <w:spacing w:after="120" w:line="360" w:lineRule="auto"/>
        <w:jc w:val="both"/>
        <w:rPr>
          <w:rFonts w:ascii="Arial Narrow" w:hAnsi="Arial Narrow"/>
          <w:u w:val="single"/>
        </w:rPr>
      </w:pPr>
      <w:r w:rsidRPr="00D20371">
        <w:rPr>
          <w:rFonts w:ascii="Arial Narrow" w:hAnsi="Arial Narrow"/>
          <w:u w:val="single"/>
        </w:rPr>
        <w:t xml:space="preserve">Optimisation de l’impact environnemental des livraisons </w:t>
      </w:r>
    </w:p>
    <w:p w14:paraId="3ABAB834" w14:textId="4193CCF3" w:rsidR="00D20371" w:rsidRPr="00D20371" w:rsidRDefault="00D20371" w:rsidP="00D20371">
      <w:pPr>
        <w:pStyle w:val="En-tte"/>
        <w:spacing w:after="120" w:line="360" w:lineRule="auto"/>
        <w:jc w:val="both"/>
        <w:rPr>
          <w:rFonts w:ascii="Arial Narrow" w:hAnsi="Arial Narrow"/>
        </w:rPr>
      </w:pPr>
      <w:r w:rsidRPr="00D20371">
        <w:rPr>
          <w:rFonts w:ascii="Arial Narrow" w:hAnsi="Arial Narrow"/>
        </w:rPr>
        <w:t>Le titulaire veille à limiter l'impact environnemental des livraisons et du transport des produits proposés au début du marché et lors des sorties de maintenance, réparation ou remplacement. La planification du transport de ces marchandises doit permettre, lorsque cela est compatible avec les besoins de l’</w:t>
      </w:r>
      <w:r w:rsidR="00590216">
        <w:rPr>
          <w:rFonts w:ascii="Arial Narrow" w:hAnsi="Arial Narrow"/>
        </w:rPr>
        <w:t>EPMO-VGE</w:t>
      </w:r>
      <w:r w:rsidRPr="00D20371">
        <w:rPr>
          <w:rFonts w:ascii="Arial Narrow" w:hAnsi="Arial Narrow"/>
        </w:rPr>
        <w:t>, d'éviter la circulation pendant les heures de pointe. Le titulaire privilégie le transport groupé des marchandises objets du marché afin de réduire les déplacements des véhicules de livraison. Il favorise les modes de transports les plus respectueux de l'environnement, notamment les véhicules à faibles émissions, tels que les véhicules électriques ou hybrides, dans le but de réduire l'empreinte carbone liée aux activités de transport et de logistique.</w:t>
      </w:r>
    </w:p>
    <w:p w14:paraId="283975C3" w14:textId="77777777" w:rsidR="00D20371" w:rsidRPr="00D20371" w:rsidRDefault="00D20371" w:rsidP="00D20371">
      <w:pPr>
        <w:pStyle w:val="En-tte"/>
        <w:spacing w:after="120" w:line="360" w:lineRule="auto"/>
        <w:jc w:val="both"/>
        <w:rPr>
          <w:rFonts w:ascii="Arial Narrow" w:hAnsi="Arial Narrow"/>
        </w:rPr>
      </w:pPr>
      <w:r w:rsidRPr="00D20371">
        <w:rPr>
          <w:rFonts w:ascii="Arial Narrow" w:hAnsi="Arial Narrow"/>
        </w:rPr>
        <w:t xml:space="preserve">Il est rappelé en outre que l’EPMO-VGE se situe en zone à faible émission ce qui exclut de fait l’utilisation des véhicules les plus polluants. Ainsi, le titulaire s’engage à ce que l’ensemble des véhicules utilisés disposent de la vignette </w:t>
      </w:r>
      <w:proofErr w:type="spellStart"/>
      <w:r w:rsidRPr="00D20371">
        <w:rPr>
          <w:rFonts w:ascii="Arial Narrow" w:hAnsi="Arial Narrow"/>
        </w:rPr>
        <w:t>Crit’Air</w:t>
      </w:r>
      <w:proofErr w:type="spellEnd"/>
      <w:r w:rsidRPr="00D20371">
        <w:rPr>
          <w:rFonts w:ascii="Arial Narrow" w:hAnsi="Arial Narrow"/>
        </w:rPr>
        <w:t xml:space="preserve"> a minima 2.</w:t>
      </w:r>
    </w:p>
    <w:p w14:paraId="2749A9EE" w14:textId="67D7261C" w:rsidR="005D59A8" w:rsidRDefault="00D20371" w:rsidP="00AB296F">
      <w:pPr>
        <w:pStyle w:val="En-tte"/>
        <w:spacing w:after="120" w:line="360" w:lineRule="auto"/>
        <w:jc w:val="both"/>
        <w:rPr>
          <w:rFonts w:ascii="Arial Narrow" w:hAnsi="Arial Narrow"/>
        </w:rPr>
      </w:pPr>
      <w:r w:rsidRPr="00D20371">
        <w:rPr>
          <w:rFonts w:ascii="Arial Narrow" w:hAnsi="Arial Narrow"/>
        </w:rPr>
        <w:t>L’EPMO-VGE se réserve le droit de procéder à des contrôles aléatoires des véhicules utilisés par le titulaire dans le cadre de la prestation.</w:t>
      </w:r>
    </w:p>
    <w:p w14:paraId="096A76D3" w14:textId="330766F0" w:rsidR="00F1664C" w:rsidRDefault="00F1664C" w:rsidP="00F1664C">
      <w:pPr>
        <w:pStyle w:val="En-tte"/>
        <w:numPr>
          <w:ilvl w:val="0"/>
          <w:numId w:val="24"/>
        </w:numPr>
        <w:spacing w:after="120" w:line="360" w:lineRule="auto"/>
        <w:jc w:val="both"/>
        <w:rPr>
          <w:rFonts w:ascii="Arial Narrow" w:hAnsi="Arial Narrow"/>
          <w:u w:val="single"/>
        </w:rPr>
      </w:pPr>
      <w:r>
        <w:rPr>
          <w:rFonts w:ascii="Arial Narrow" w:hAnsi="Arial Narrow"/>
          <w:u w:val="single"/>
        </w:rPr>
        <w:t>Bilan carbone</w:t>
      </w:r>
    </w:p>
    <w:p w14:paraId="587B6AF5" w14:textId="77777777" w:rsidR="00F1664C" w:rsidRPr="00F1664C" w:rsidRDefault="00F1664C" w:rsidP="00AF4D9D">
      <w:pPr>
        <w:pStyle w:val="En-tte"/>
        <w:spacing w:after="120" w:line="360" w:lineRule="auto"/>
        <w:jc w:val="both"/>
        <w:rPr>
          <w:rFonts w:ascii="Arial Narrow" w:hAnsi="Arial Narrow"/>
        </w:rPr>
      </w:pPr>
      <w:r w:rsidRPr="00F1664C">
        <w:rPr>
          <w:rFonts w:ascii="Arial Narrow" w:hAnsi="Arial Narrow"/>
        </w:rPr>
        <w:lastRenderedPageBreak/>
        <w:t xml:space="preserve">Au titre de sa politique de transition écologique, l’EPMO-VGE est engagé dans une démarche de mesure de l’empreinte environnementale de ses activités, comprenant les prestations réalisées au titre du présent accord-cadre. </w:t>
      </w:r>
    </w:p>
    <w:p w14:paraId="11C31C36" w14:textId="77777777" w:rsidR="00F1664C" w:rsidRPr="00F1664C" w:rsidRDefault="00F1664C" w:rsidP="00AF4D9D">
      <w:pPr>
        <w:pStyle w:val="En-tte"/>
        <w:spacing w:line="360" w:lineRule="auto"/>
        <w:jc w:val="both"/>
        <w:rPr>
          <w:rFonts w:ascii="Arial Narrow" w:hAnsi="Arial Narrow"/>
        </w:rPr>
      </w:pPr>
      <w:r w:rsidRPr="00F1664C">
        <w:rPr>
          <w:rFonts w:ascii="Arial Narrow" w:hAnsi="Arial Narrow"/>
        </w:rPr>
        <w:t xml:space="preserve">Dans ce cadre, le titulaire est tenu de fournir les données nécessaires à cette mesure, telles que demandées par l’EPMO-VGE : </w:t>
      </w:r>
    </w:p>
    <w:p w14:paraId="051E09FB" w14:textId="0636C5DC" w:rsidR="00F1664C" w:rsidRPr="00F1664C" w:rsidRDefault="00F1664C" w:rsidP="00AF4D9D">
      <w:pPr>
        <w:pStyle w:val="En-tte"/>
        <w:numPr>
          <w:ilvl w:val="0"/>
          <w:numId w:val="3"/>
        </w:numPr>
        <w:spacing w:line="360" w:lineRule="auto"/>
        <w:jc w:val="both"/>
        <w:rPr>
          <w:rFonts w:ascii="Arial Narrow" w:hAnsi="Arial Narrow"/>
        </w:rPr>
      </w:pPr>
      <w:r>
        <w:rPr>
          <w:rFonts w:ascii="Arial Narrow" w:hAnsi="Arial Narrow"/>
        </w:rPr>
        <w:t>Q</w:t>
      </w:r>
      <w:r w:rsidRPr="00F1664C">
        <w:rPr>
          <w:rFonts w:ascii="Arial Narrow" w:hAnsi="Arial Narrow"/>
        </w:rPr>
        <w:t xml:space="preserve">uantités de gaz à effet de serre émises par le ou les modes de transport utilisés pour réaliser les prestations objet </w:t>
      </w:r>
      <w:r>
        <w:rPr>
          <w:rFonts w:ascii="Arial Narrow" w:hAnsi="Arial Narrow"/>
        </w:rPr>
        <w:t>de l’accord-cadre</w:t>
      </w:r>
      <w:r w:rsidRPr="00F1664C">
        <w:rPr>
          <w:rFonts w:ascii="Arial Narrow" w:hAnsi="Arial Narrow"/>
        </w:rPr>
        <w:t>.</w:t>
      </w:r>
    </w:p>
    <w:p w14:paraId="6C7184CC" w14:textId="7E513D4B" w:rsidR="00F1664C" w:rsidRDefault="00F1664C" w:rsidP="00AF4D9D">
      <w:pPr>
        <w:pStyle w:val="En-tte"/>
        <w:numPr>
          <w:ilvl w:val="0"/>
          <w:numId w:val="3"/>
        </w:numPr>
        <w:spacing w:line="360" w:lineRule="auto"/>
        <w:jc w:val="both"/>
        <w:rPr>
          <w:rFonts w:ascii="Arial Narrow" w:hAnsi="Arial Narrow"/>
        </w:rPr>
      </w:pPr>
      <w:r>
        <w:rPr>
          <w:rFonts w:ascii="Arial Narrow" w:hAnsi="Arial Narrow"/>
        </w:rPr>
        <w:t>Proportion de dispositifs recyclés/recyclables parmi l’ensemble des dispositifs commandés</w:t>
      </w:r>
    </w:p>
    <w:p w14:paraId="3D4826CE" w14:textId="0DA9652E" w:rsidR="00F1664C" w:rsidRDefault="00F1664C" w:rsidP="00AF4D9D">
      <w:pPr>
        <w:pStyle w:val="En-tte"/>
        <w:numPr>
          <w:ilvl w:val="0"/>
          <w:numId w:val="3"/>
        </w:numPr>
        <w:spacing w:after="120" w:line="360" w:lineRule="auto"/>
        <w:jc w:val="both"/>
        <w:rPr>
          <w:rFonts w:ascii="Arial Narrow" w:hAnsi="Arial Narrow"/>
        </w:rPr>
      </w:pPr>
      <w:r>
        <w:rPr>
          <w:rFonts w:ascii="Arial Narrow" w:hAnsi="Arial Narrow"/>
        </w:rPr>
        <w:t>Volume total de produits commandés (en kg)</w:t>
      </w:r>
    </w:p>
    <w:p w14:paraId="02C40980" w14:textId="2AD9771F" w:rsidR="00F1664C" w:rsidRDefault="00F1664C" w:rsidP="001A1B0D">
      <w:pPr>
        <w:pStyle w:val="En-tte"/>
        <w:spacing w:line="360" w:lineRule="auto"/>
        <w:jc w:val="both"/>
        <w:rPr>
          <w:rFonts w:ascii="Arial Narrow" w:hAnsi="Arial Narrow"/>
        </w:rPr>
      </w:pPr>
      <w:r w:rsidRPr="00F1664C">
        <w:rPr>
          <w:rFonts w:ascii="Arial Narrow" w:hAnsi="Arial Narrow"/>
        </w:rPr>
        <w:t>Le titulaire fournira annuellement un bilan intégrant l’ensemble des éléments décrits ci-dessus.</w:t>
      </w:r>
    </w:p>
    <w:p w14:paraId="73BBB873" w14:textId="77777777" w:rsidR="00F1664C" w:rsidRDefault="00F1664C" w:rsidP="00F1664C">
      <w:pPr>
        <w:pStyle w:val="En-tte"/>
        <w:spacing w:after="240" w:line="360" w:lineRule="auto"/>
        <w:jc w:val="both"/>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PRIX DU MARCHE</w:t>
      </w:r>
    </w:p>
    <w:p w14:paraId="286276F8" w14:textId="23BA4520" w:rsidR="00C258DB" w:rsidRDefault="00C258DB" w:rsidP="0030192B">
      <w:pPr>
        <w:pStyle w:val="En-tte"/>
        <w:spacing w:after="120" w:line="360" w:lineRule="auto"/>
        <w:jc w:val="both"/>
        <w:rPr>
          <w:rFonts w:ascii="Arial Narrow" w:hAnsi="Arial Narrow"/>
        </w:rPr>
      </w:pPr>
      <w:r w:rsidRPr="00C258DB">
        <w:rPr>
          <w:rFonts w:ascii="Arial Narrow" w:hAnsi="Arial Narrow"/>
        </w:rPr>
        <w:t>Les marchés subséquents à l’accord-cadre seront traités à prix global et forfaitaire sur la base d’un devis très détaillé ou d’une DPGF indiquant chaque fois que possible le mo</w:t>
      </w:r>
      <w:r w:rsidR="009E452F">
        <w:rPr>
          <w:rFonts w:ascii="Arial Narrow" w:hAnsi="Arial Narrow"/>
        </w:rPr>
        <w:t>de de détermination des prix et/</w:t>
      </w:r>
      <w:r w:rsidRPr="00C258DB">
        <w:rPr>
          <w:rFonts w:ascii="Arial Narrow" w:hAnsi="Arial Narrow"/>
        </w:rPr>
        <w:t xml:space="preserve">ou sous forme de prix unitaires. </w:t>
      </w:r>
      <w:r>
        <w:rPr>
          <w:rFonts w:ascii="Arial Narrow" w:hAnsi="Arial Narrow"/>
        </w:rPr>
        <w:t>L</w:t>
      </w:r>
      <w:r w:rsidRPr="00C258DB">
        <w:rPr>
          <w:rFonts w:ascii="Arial Narrow" w:hAnsi="Arial Narrow"/>
        </w:rPr>
        <w:t>ors de l’établissement de l’offre</w:t>
      </w:r>
      <w:r w:rsidR="00DB777E">
        <w:rPr>
          <w:rFonts w:ascii="Arial Narrow" w:hAnsi="Arial Narrow"/>
        </w:rPr>
        <w:t xml:space="preserve"> et lorsque cela est compatible avec le besoin de l’EPMO-VGE</w:t>
      </w:r>
      <w:r>
        <w:rPr>
          <w:rFonts w:ascii="Arial Narrow" w:hAnsi="Arial Narrow"/>
        </w:rPr>
        <w:t>,</w:t>
      </w:r>
      <w:r w:rsidRPr="00C258DB">
        <w:rPr>
          <w:rFonts w:ascii="Arial Narrow" w:hAnsi="Arial Narrow"/>
        </w:rPr>
        <w:t xml:space="preserve"> le référentiel</w:t>
      </w:r>
      <w:r>
        <w:rPr>
          <w:rFonts w:ascii="Arial Narrow" w:hAnsi="Arial Narrow"/>
        </w:rPr>
        <w:t xml:space="preserve"> des</w:t>
      </w:r>
      <w:r w:rsidRPr="00C258DB">
        <w:rPr>
          <w:rFonts w:ascii="Arial Narrow" w:hAnsi="Arial Narrow"/>
        </w:rPr>
        <w:t xml:space="preserve"> prix </w:t>
      </w:r>
      <w:r>
        <w:rPr>
          <w:rFonts w:ascii="Arial Narrow" w:hAnsi="Arial Narrow"/>
        </w:rPr>
        <w:t xml:space="preserve">plafonds </w:t>
      </w:r>
      <w:r w:rsidRPr="00C258DB">
        <w:rPr>
          <w:rFonts w:ascii="Arial Narrow" w:hAnsi="Arial Narrow"/>
        </w:rPr>
        <w:t xml:space="preserve">sera utilisé. </w:t>
      </w:r>
    </w:p>
    <w:p w14:paraId="06141038" w14:textId="06AFFBFB" w:rsidR="00B42ED3" w:rsidRPr="00546FE0" w:rsidRDefault="00C258DB" w:rsidP="00C258DB">
      <w:pPr>
        <w:pStyle w:val="En-tte"/>
        <w:spacing w:after="120" w:line="360" w:lineRule="auto"/>
        <w:jc w:val="both"/>
        <w:rPr>
          <w:rFonts w:ascii="Arial Narrow" w:hAnsi="Arial Narrow"/>
        </w:rPr>
      </w:pPr>
      <w:r>
        <w:rPr>
          <w:rFonts w:ascii="Arial Narrow" w:hAnsi="Arial Narrow"/>
        </w:rPr>
        <w:t xml:space="preserve">Les prix mentionnés dans le référentiel de prix plafonds </w:t>
      </w:r>
      <w:r w:rsidR="00B42ED3" w:rsidRPr="00C258DB">
        <w:rPr>
          <w:rFonts w:ascii="Arial Narrow" w:hAnsi="Arial Narrow"/>
        </w:rPr>
        <w:t>sont révisables et établis sur la base des conditions économiques en vigueur au mois de remise des offres. Ce mois est appelé le « mois zéro » (M0).</w:t>
      </w:r>
    </w:p>
    <w:p w14:paraId="5F005335" w14:textId="56A8AE26" w:rsidR="00C258DB" w:rsidRPr="00546FE0" w:rsidRDefault="00B42ED3" w:rsidP="00C258DB">
      <w:pPr>
        <w:pStyle w:val="En-tte"/>
        <w:spacing w:after="120" w:line="360" w:lineRule="auto"/>
        <w:jc w:val="both"/>
        <w:rPr>
          <w:rFonts w:ascii="Arial Narrow" w:hAnsi="Arial Narrow"/>
        </w:rPr>
      </w:pPr>
      <w:r w:rsidRPr="00546FE0">
        <w:rPr>
          <w:rFonts w:ascii="Arial Narrow" w:hAnsi="Arial Narrow"/>
        </w:rPr>
        <w:t>Cette révision s’effectue annuellement à la date anniversaire de la notification du marché par application de la formule suivante :</w:t>
      </w:r>
    </w:p>
    <w:p w14:paraId="4F8058FF" w14:textId="4E7D5F48" w:rsidR="00C258DB" w:rsidRDefault="00C258DB" w:rsidP="00B42ED3">
      <w:pPr>
        <w:pStyle w:val="En-tte"/>
        <w:spacing w:after="120" w:line="360" w:lineRule="auto"/>
        <w:rPr>
          <w:rFonts w:ascii="Arial Narrow" w:hAnsi="Arial Narrow"/>
          <w:lang w:val="en-US"/>
        </w:rPr>
      </w:pPr>
      <w:r>
        <w:rPr>
          <w:rFonts w:ascii="Arial Narrow" w:hAnsi="Arial Narrow"/>
          <w:lang w:val="en-US"/>
        </w:rPr>
        <w:t>Po*(0</w:t>
      </w:r>
      <w:proofErr w:type="gramStart"/>
      <w:r>
        <w:rPr>
          <w:rFonts w:ascii="Arial Narrow" w:hAnsi="Arial Narrow"/>
          <w:lang w:val="en-US"/>
        </w:rPr>
        <w:t>,15</w:t>
      </w:r>
      <w:proofErr w:type="gramEnd"/>
      <w:r>
        <w:rPr>
          <w:rFonts w:ascii="Arial Narrow" w:hAnsi="Arial Narrow"/>
          <w:lang w:val="en-US"/>
        </w:rPr>
        <w:t xml:space="preserve"> + 0,85*[0,50*(ICHT-N</w:t>
      </w:r>
      <w:r w:rsidRPr="0059756C">
        <w:rPr>
          <w:rFonts w:ascii="Arial Narrow" w:hAnsi="Arial Narrow"/>
          <w:lang w:val="en-US"/>
        </w:rPr>
        <w:t xml:space="preserve">/ </w:t>
      </w:r>
      <w:r>
        <w:rPr>
          <w:rFonts w:ascii="Arial Narrow" w:hAnsi="Arial Narrow"/>
          <w:lang w:val="en-US"/>
        </w:rPr>
        <w:t>ICHT-N</w:t>
      </w:r>
      <w:r w:rsidRPr="0059756C">
        <w:rPr>
          <w:rFonts w:ascii="Arial Narrow" w:hAnsi="Arial Narrow"/>
          <w:lang w:val="en-US"/>
        </w:rPr>
        <w:t>o) + 0,50*(I/Io)]</w:t>
      </w:r>
    </w:p>
    <w:p w14:paraId="02D8CDCD" w14:textId="0CEAF43B" w:rsidR="00B42ED3" w:rsidRDefault="00B42ED3" w:rsidP="009E452F">
      <w:pPr>
        <w:pStyle w:val="En-tte"/>
        <w:spacing w:after="120" w:line="360" w:lineRule="auto"/>
        <w:jc w:val="both"/>
        <w:rPr>
          <w:rFonts w:ascii="Arial Narrow" w:hAnsi="Arial Narrow"/>
        </w:rPr>
      </w:pPr>
      <w:r w:rsidRPr="00C258DB">
        <w:rPr>
          <w:rFonts w:ascii="Arial Narrow" w:hAnsi="Arial Narrow"/>
        </w:rPr>
        <w:t xml:space="preserve">ICHT-N = </w:t>
      </w:r>
      <w:r w:rsidR="009E452F" w:rsidRPr="009E452F">
        <w:rPr>
          <w:rFonts w:ascii="Arial Narrow" w:hAnsi="Arial Narrow"/>
        </w:rPr>
        <w:t xml:space="preserve">Indice mensuel du coût horaire du travail révisé - Salaires et charges - Tous salariés - Services administratifs, soutien (NAF </w:t>
      </w:r>
      <w:proofErr w:type="spellStart"/>
      <w:r w:rsidR="009E452F" w:rsidRPr="009E452F">
        <w:rPr>
          <w:rFonts w:ascii="Arial Narrow" w:hAnsi="Arial Narrow"/>
        </w:rPr>
        <w:t>rév</w:t>
      </w:r>
      <w:proofErr w:type="spellEnd"/>
      <w:r w:rsidR="009E452F" w:rsidRPr="009E452F">
        <w:rPr>
          <w:rFonts w:ascii="Arial Narrow" w:hAnsi="Arial Narrow"/>
        </w:rPr>
        <w:t>. 2 section N) - Base 100 en décembre 2008</w:t>
      </w:r>
      <w:r w:rsidR="009E452F">
        <w:rPr>
          <w:rFonts w:ascii="Arial Narrow" w:hAnsi="Arial Narrow"/>
        </w:rPr>
        <w:t xml:space="preserve"> – Identifiant : </w:t>
      </w:r>
      <w:r w:rsidR="009E452F" w:rsidRPr="009E452F">
        <w:rPr>
          <w:rFonts w:ascii="Arial Narrow" w:hAnsi="Arial Narrow"/>
        </w:rPr>
        <w:t>001565196</w:t>
      </w:r>
    </w:p>
    <w:p w14:paraId="44E6C7DC" w14:textId="0E74924F" w:rsidR="00C258DB" w:rsidRPr="00546FE0" w:rsidRDefault="00C258DB" w:rsidP="00B42ED3">
      <w:pPr>
        <w:pStyle w:val="En-tte"/>
        <w:spacing w:after="120" w:line="360" w:lineRule="auto"/>
        <w:rPr>
          <w:rFonts w:ascii="Arial Narrow" w:hAnsi="Arial Narrow"/>
        </w:rPr>
      </w:pPr>
      <w:r w:rsidRPr="009C1257">
        <w:rPr>
          <w:rFonts w:ascii="Arial Narrow" w:hAnsi="Arial Narrow"/>
        </w:rPr>
        <w:t>I = Indices des prix de production des services français aux entreprises françaises (</w:t>
      </w:r>
      <w:proofErr w:type="spellStart"/>
      <w:r w:rsidRPr="009C1257">
        <w:rPr>
          <w:rFonts w:ascii="Arial Narrow" w:hAnsi="Arial Narrow"/>
        </w:rPr>
        <w:t>BtoB</w:t>
      </w:r>
      <w:proofErr w:type="spellEnd"/>
      <w:r w:rsidRPr="009C1257">
        <w:rPr>
          <w:rFonts w:ascii="Arial Narrow" w:hAnsi="Arial Narrow"/>
        </w:rPr>
        <w:t>) − CPF 80 − Services de sécurité - Prix de marché − Base 2021 − Données trimestrielles brutes – Identifiant : 010766543</w:t>
      </w:r>
    </w:p>
    <w:p w14:paraId="525BF1FC" w14:textId="77777777" w:rsidR="00B42ED3" w:rsidRPr="00546FE0" w:rsidRDefault="00B42ED3" w:rsidP="004D1134">
      <w:pPr>
        <w:pStyle w:val="En-tte"/>
        <w:spacing w:line="360" w:lineRule="auto"/>
        <w:rPr>
          <w:rFonts w:ascii="Arial Narrow" w:hAnsi="Arial Narrow"/>
        </w:rPr>
      </w:pPr>
      <w:r w:rsidRPr="00546FE0">
        <w:rPr>
          <w:rFonts w:ascii="Arial Narrow" w:hAnsi="Arial Narrow"/>
        </w:rPr>
        <w:t>Dans laquelle :</w:t>
      </w:r>
    </w:p>
    <w:p w14:paraId="36C20F56" w14:textId="77777777" w:rsidR="00C258DB" w:rsidRPr="009C1257" w:rsidRDefault="00C258DB" w:rsidP="004D1134">
      <w:pPr>
        <w:pStyle w:val="En-tte"/>
        <w:numPr>
          <w:ilvl w:val="0"/>
          <w:numId w:val="34"/>
        </w:numPr>
        <w:spacing w:line="360" w:lineRule="auto"/>
        <w:rPr>
          <w:rFonts w:ascii="Arial Narrow" w:hAnsi="Arial Narrow"/>
        </w:rPr>
      </w:pPr>
      <w:r w:rsidRPr="009C1257">
        <w:rPr>
          <w:rFonts w:ascii="Arial Narrow" w:hAnsi="Arial Narrow"/>
        </w:rPr>
        <w:t>P : prix révisé,</w:t>
      </w:r>
    </w:p>
    <w:p w14:paraId="4DD33793" w14:textId="77777777" w:rsidR="00C258DB" w:rsidRPr="009C1257" w:rsidRDefault="00C258DB" w:rsidP="004D1134">
      <w:pPr>
        <w:pStyle w:val="En-tte"/>
        <w:numPr>
          <w:ilvl w:val="0"/>
          <w:numId w:val="34"/>
        </w:numPr>
        <w:spacing w:line="360" w:lineRule="auto"/>
        <w:rPr>
          <w:rFonts w:ascii="Arial Narrow" w:hAnsi="Arial Narrow"/>
        </w:rPr>
      </w:pPr>
      <w:r w:rsidRPr="009C1257">
        <w:rPr>
          <w:rFonts w:ascii="Arial Narrow" w:hAnsi="Arial Narrow"/>
        </w:rPr>
        <w:t>Po : prix au mois M0,</w:t>
      </w:r>
    </w:p>
    <w:p w14:paraId="3B07DA5E" w14:textId="551A920D" w:rsidR="00C258DB" w:rsidRPr="009C1257" w:rsidRDefault="00C258DB" w:rsidP="004D1134">
      <w:pPr>
        <w:pStyle w:val="En-tte"/>
        <w:numPr>
          <w:ilvl w:val="0"/>
          <w:numId w:val="34"/>
        </w:numPr>
        <w:spacing w:line="360" w:lineRule="auto"/>
        <w:rPr>
          <w:rFonts w:ascii="Arial Narrow" w:hAnsi="Arial Narrow"/>
        </w:rPr>
      </w:pPr>
      <w:r>
        <w:rPr>
          <w:rFonts w:ascii="Arial Narrow" w:hAnsi="Arial Narrow"/>
        </w:rPr>
        <w:t>ICHT-N : dernier indice ICHT-N</w:t>
      </w:r>
      <w:r w:rsidRPr="009C1257">
        <w:rPr>
          <w:rFonts w:ascii="Arial Narrow" w:hAnsi="Arial Narrow"/>
        </w:rPr>
        <w:t xml:space="preserve"> connu à la date de révision des prix,</w:t>
      </w:r>
    </w:p>
    <w:p w14:paraId="37512B6E" w14:textId="0E98DD6F" w:rsidR="00C258DB" w:rsidRPr="009C1257" w:rsidRDefault="00C258DB" w:rsidP="004D1134">
      <w:pPr>
        <w:pStyle w:val="En-tte"/>
        <w:numPr>
          <w:ilvl w:val="0"/>
          <w:numId w:val="34"/>
        </w:numPr>
        <w:spacing w:line="360" w:lineRule="auto"/>
        <w:rPr>
          <w:rFonts w:ascii="Arial Narrow" w:hAnsi="Arial Narrow"/>
        </w:rPr>
      </w:pPr>
      <w:r>
        <w:rPr>
          <w:rFonts w:ascii="Arial Narrow" w:hAnsi="Arial Narrow"/>
        </w:rPr>
        <w:t>ICHT-No : Indice ICHT-N</w:t>
      </w:r>
      <w:r w:rsidRPr="009C1257">
        <w:rPr>
          <w:rFonts w:ascii="Arial Narrow" w:hAnsi="Arial Narrow"/>
        </w:rPr>
        <w:t xml:space="preserve"> au mois M0.</w:t>
      </w:r>
    </w:p>
    <w:p w14:paraId="3FFBE84A" w14:textId="77777777" w:rsidR="00C258DB" w:rsidRPr="009C1257" w:rsidRDefault="00C258DB" w:rsidP="004D1134">
      <w:pPr>
        <w:pStyle w:val="En-tte"/>
        <w:numPr>
          <w:ilvl w:val="0"/>
          <w:numId w:val="34"/>
        </w:numPr>
        <w:spacing w:line="360" w:lineRule="auto"/>
        <w:rPr>
          <w:rFonts w:ascii="Arial Narrow" w:hAnsi="Arial Narrow"/>
        </w:rPr>
      </w:pPr>
      <w:r w:rsidRPr="009C1257">
        <w:rPr>
          <w:rFonts w:ascii="Arial Narrow" w:hAnsi="Arial Narrow"/>
        </w:rPr>
        <w:t>I : dernier indice I connu à la date de révision des prix,</w:t>
      </w:r>
    </w:p>
    <w:p w14:paraId="3E0B23BE" w14:textId="77777777" w:rsidR="00C258DB" w:rsidRPr="009C1257" w:rsidRDefault="00C258DB" w:rsidP="004D1134">
      <w:pPr>
        <w:pStyle w:val="En-tte"/>
        <w:numPr>
          <w:ilvl w:val="0"/>
          <w:numId w:val="34"/>
        </w:numPr>
        <w:spacing w:after="120" w:line="360" w:lineRule="auto"/>
        <w:rPr>
          <w:rFonts w:ascii="Arial Narrow" w:hAnsi="Arial Narrow"/>
        </w:rPr>
      </w:pPr>
      <w:r w:rsidRPr="009C1257">
        <w:rPr>
          <w:rFonts w:ascii="Arial Narrow" w:hAnsi="Arial Narrow"/>
        </w:rPr>
        <w:t>I : Indice I au moins M0</w:t>
      </w:r>
    </w:p>
    <w:p w14:paraId="12C105F1"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lastRenderedPageBreak/>
        <w:t>Le coefficient obtenu sera arrêté à la troisième décimale.</w:t>
      </w:r>
    </w:p>
    <w:p w14:paraId="32ED971C" w14:textId="2B7B99E0" w:rsidR="00B42ED3" w:rsidRPr="00546FE0" w:rsidRDefault="00B42ED3" w:rsidP="00B42ED3">
      <w:pPr>
        <w:pStyle w:val="En-tte"/>
        <w:spacing w:after="120" w:line="360" w:lineRule="auto"/>
        <w:rPr>
          <w:rFonts w:ascii="Arial Narrow" w:hAnsi="Arial Narrow"/>
        </w:rPr>
      </w:pPr>
      <w:r w:rsidRPr="00546FE0">
        <w:rPr>
          <w:rFonts w:ascii="Arial Narrow" w:hAnsi="Arial Narrow"/>
        </w:rPr>
        <w:t>La révision des prix fera l’objet d’une vérification e</w:t>
      </w:r>
      <w:r w:rsidR="000C10A2" w:rsidRPr="00546FE0">
        <w:rPr>
          <w:rFonts w:ascii="Arial Narrow" w:hAnsi="Arial Narrow"/>
        </w:rPr>
        <w:t>t d’une validation par l’</w:t>
      </w:r>
      <w:r w:rsidR="00590216">
        <w:rPr>
          <w:rFonts w:ascii="Arial Narrow" w:hAnsi="Arial Narrow"/>
        </w:rPr>
        <w:t>EPMO-VGE</w:t>
      </w:r>
      <w:r w:rsidRPr="00546FE0">
        <w:rPr>
          <w:rFonts w:ascii="Arial Narrow" w:hAnsi="Arial Narrow"/>
        </w:rPr>
        <w:t xml:space="preserve">. </w:t>
      </w:r>
    </w:p>
    <w:p w14:paraId="5FCAD361" w14:textId="72F36AC2" w:rsidR="0014540C" w:rsidRDefault="00B42ED3" w:rsidP="00B42ED3">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5E318B3F" w14:textId="1579E45A" w:rsidR="000D23B1" w:rsidRDefault="00C258DB" w:rsidP="00C258DB">
      <w:pPr>
        <w:pStyle w:val="En-tte"/>
        <w:spacing w:after="120" w:line="360" w:lineRule="auto"/>
        <w:jc w:val="both"/>
        <w:rPr>
          <w:rFonts w:ascii="Arial Narrow" w:hAnsi="Arial Narrow"/>
        </w:rPr>
      </w:pPr>
      <w:r w:rsidRPr="00C258DB">
        <w:rPr>
          <w:rFonts w:ascii="Arial Narrow" w:hAnsi="Arial Narrow"/>
        </w:rPr>
        <w:t>Les prix sont réputés comprendre toutes les dépenses résultant de l'exécution des prestations, incluant tous les frais, charges, fournitures, matériels nécessaires ainsi que les sujétions et contraintes telles qu'énoncées notamm</w:t>
      </w:r>
      <w:r>
        <w:rPr>
          <w:rFonts w:ascii="Arial Narrow" w:hAnsi="Arial Narrow"/>
        </w:rPr>
        <w:t xml:space="preserve">ent dans le marché subséquent. </w:t>
      </w:r>
    </w:p>
    <w:p w14:paraId="031C11A6" w14:textId="39E99ABC" w:rsidR="0014540C" w:rsidRPr="00546FE0" w:rsidRDefault="0014540C" w:rsidP="00B42ED3">
      <w:pPr>
        <w:pStyle w:val="En-tte"/>
        <w:spacing w:after="120" w:line="360" w:lineRule="auto"/>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64FD0189" w14:textId="6078F1DF" w:rsidR="0014540C" w:rsidRPr="00546FE0" w:rsidRDefault="000D23B1" w:rsidP="00E41FB9">
      <w:pPr>
        <w:pStyle w:val="En-tte"/>
        <w:numPr>
          <w:ilvl w:val="1"/>
          <w:numId w:val="28"/>
        </w:numPr>
        <w:tabs>
          <w:tab w:val="clear" w:pos="4536"/>
          <w:tab w:val="clear" w:pos="9072"/>
        </w:tabs>
        <w:spacing w:after="120" w:line="360" w:lineRule="auto"/>
        <w:jc w:val="both"/>
        <w:rPr>
          <w:rFonts w:ascii="Arial Narrow" w:hAnsi="Arial Narrow"/>
          <w:b/>
        </w:rPr>
      </w:pPr>
      <w:r>
        <w:rPr>
          <w:rFonts w:ascii="Arial Narrow" w:hAnsi="Arial Narrow"/>
          <w:b/>
        </w:rPr>
        <w:t xml:space="preserve"> </w:t>
      </w:r>
      <w:r w:rsidR="0014540C" w:rsidRPr="00546FE0">
        <w:rPr>
          <w:rFonts w:ascii="Arial Narrow" w:hAnsi="Arial Narrow"/>
          <w:b/>
        </w:rPr>
        <w:t>Avance</w:t>
      </w:r>
    </w:p>
    <w:p w14:paraId="03A2E60F" w14:textId="67178DDE" w:rsidR="0014540C" w:rsidRDefault="0014540C" w:rsidP="000D23B1">
      <w:pPr>
        <w:pStyle w:val="En-tte"/>
        <w:spacing w:after="120" w:line="360" w:lineRule="auto"/>
        <w:jc w:val="both"/>
        <w:rPr>
          <w:rFonts w:ascii="Arial Narrow" w:hAnsi="Arial Narrow"/>
        </w:rPr>
      </w:pPr>
      <w:r w:rsidRPr="00546FE0">
        <w:rPr>
          <w:rFonts w:ascii="Arial Narrow" w:hAnsi="Arial Narrow"/>
        </w:rPr>
        <w:t xml:space="preserve">Pour chaque marché subséquent, une avance est versée au titulaire dans les conditions fixées à l’option A de l’article </w:t>
      </w:r>
      <w:r w:rsidRPr="00980184">
        <w:rPr>
          <w:rFonts w:ascii="Arial Narrow" w:hAnsi="Arial Narrow"/>
          <w:bCs/>
          <w:iCs/>
        </w:rPr>
        <w:t>11.1 du CCAG-FCS</w:t>
      </w:r>
      <w:r w:rsidRPr="00980184">
        <w:rPr>
          <w:rFonts w:ascii="Arial Narrow" w:hAnsi="Arial Narrow"/>
          <w:b/>
          <w:bCs/>
          <w:iCs/>
        </w:rPr>
        <w:t xml:space="preserve"> </w:t>
      </w:r>
      <w:r w:rsidRPr="00980184">
        <w:rPr>
          <w:rFonts w:ascii="Arial Narrow" w:hAnsi="Arial Narrow"/>
        </w:rPr>
        <w:t>et</w:t>
      </w:r>
      <w:r w:rsidRPr="00546FE0">
        <w:rPr>
          <w:rFonts w:ascii="Arial Narrow" w:hAnsi="Arial Narrow"/>
        </w:rPr>
        <w:t xml:space="preserve"> </w:t>
      </w:r>
      <w:r w:rsidRPr="00546FE0">
        <w:rPr>
          <w:rFonts w:ascii="Arial Narrow" w:hAnsi="Arial Narrow"/>
          <w:bCs/>
        </w:rPr>
        <w:t>aux articles R. 2191-3 et suivants du</w:t>
      </w:r>
      <w:r w:rsidRPr="00546FE0">
        <w:rPr>
          <w:rFonts w:ascii="Arial Narrow" w:hAnsi="Arial Narrow"/>
          <w:b/>
          <w:bCs/>
        </w:rPr>
        <w:t xml:space="preserve"> </w:t>
      </w:r>
      <w:r w:rsidRPr="00546FE0">
        <w:rPr>
          <w:rFonts w:ascii="Arial Narrow" w:hAnsi="Arial Narrow"/>
        </w:rPr>
        <w:t>Code de la commande publique, sauf si celui-ci y renonce dans le marché subséquent.</w:t>
      </w:r>
      <w:r w:rsidRPr="00546FE0">
        <w:rPr>
          <w:rFonts w:ascii="Arial Narrow" w:hAnsi="Arial Narrow"/>
          <w:b/>
          <w:bCs/>
          <w:i/>
          <w:iCs/>
        </w:rPr>
        <w:t xml:space="preserve"> </w:t>
      </w:r>
    </w:p>
    <w:p w14:paraId="1B606D39" w14:textId="271D2596" w:rsidR="0014540C" w:rsidRPr="000D23B1" w:rsidRDefault="002724FC" w:rsidP="000D23B1">
      <w:pPr>
        <w:pStyle w:val="En-tte"/>
        <w:spacing w:after="120" w:line="360" w:lineRule="auto"/>
        <w:jc w:val="both"/>
        <w:rPr>
          <w:rFonts w:ascii="Arial Narrow" w:hAnsi="Arial Narrow"/>
          <w:b/>
          <w:bCs/>
          <w:i/>
          <w:iCs/>
        </w:rPr>
      </w:pPr>
      <w:r w:rsidRPr="00EC0A28">
        <w:rPr>
          <w:rFonts w:ascii="Arial Narrow" w:hAnsi="Arial Narrow"/>
        </w:rPr>
        <w:t>Dans le respect des dispositions de l’article R. 2191-11 et R. 2191-12 du Code de la commande publique, le remboursement de l’avance s’imputera sur les sommes dues au titulaire quand le montant des prestations exécutées atteindra 50% du montant toutes taxes comprises du marché. Il devra être terminé lorsque le montant des prestations exécutées atteindra 80% du montant toutes taxes comprises du marché</w:t>
      </w:r>
      <w:r w:rsidR="00FE25E8">
        <w:rPr>
          <w:rFonts w:ascii="Arial Narrow" w:hAnsi="Arial Narrow"/>
        </w:rPr>
        <w:t>.</w:t>
      </w:r>
    </w:p>
    <w:p w14:paraId="1078C827" w14:textId="440AC431" w:rsidR="004C5CF1" w:rsidRPr="00546FE0" w:rsidRDefault="00C258DB" w:rsidP="00E41FB9">
      <w:pPr>
        <w:pStyle w:val="En-tte"/>
        <w:numPr>
          <w:ilvl w:val="1"/>
          <w:numId w:val="28"/>
        </w:numPr>
        <w:tabs>
          <w:tab w:val="clear" w:pos="4536"/>
          <w:tab w:val="clear" w:pos="9072"/>
        </w:tabs>
        <w:spacing w:after="120" w:line="360" w:lineRule="auto"/>
        <w:jc w:val="both"/>
        <w:rPr>
          <w:rFonts w:ascii="Arial Narrow" w:hAnsi="Arial Narrow"/>
          <w:b/>
        </w:rPr>
      </w:pPr>
      <w:r>
        <w:rPr>
          <w:rFonts w:ascii="Arial Narrow" w:hAnsi="Arial Narrow"/>
          <w:b/>
        </w:rPr>
        <w:t xml:space="preserve"> </w:t>
      </w:r>
      <w:r w:rsidR="004C5CF1" w:rsidRPr="00546FE0">
        <w:rPr>
          <w:rFonts w:ascii="Arial Narrow" w:hAnsi="Arial Narrow"/>
          <w:b/>
        </w:rPr>
        <w:t>Paiement des marchés subséquents</w:t>
      </w:r>
    </w:p>
    <w:p w14:paraId="04A32B85" w14:textId="77777777" w:rsidR="004C5CF1" w:rsidRPr="00546FE0" w:rsidRDefault="004D0CF2" w:rsidP="004D0CF2">
      <w:pPr>
        <w:pStyle w:val="En-tte"/>
        <w:spacing w:after="120" w:line="360" w:lineRule="auto"/>
        <w:jc w:val="both"/>
        <w:rPr>
          <w:rFonts w:ascii="Arial Narrow" w:hAnsi="Arial Narrow"/>
        </w:rPr>
      </w:pPr>
      <w:r w:rsidRPr="00546FE0">
        <w:rPr>
          <w:rFonts w:ascii="Arial Narrow" w:hAnsi="Arial Narrow"/>
        </w:rPr>
        <w:t>Le paiement des prestations s’effectuera s</w:t>
      </w:r>
      <w:r w:rsidR="004C5CF1" w:rsidRPr="00546FE0">
        <w:rPr>
          <w:rFonts w:ascii="Arial Narrow" w:hAnsi="Arial Narrow"/>
        </w:rPr>
        <w:t>elon les modalités définies dans chaque marché subséquent</w:t>
      </w:r>
      <w:r w:rsidRPr="00546FE0">
        <w:rPr>
          <w:rFonts w:ascii="Arial Narrow" w:hAnsi="Arial Narrow"/>
        </w:rPr>
        <w:t>.</w:t>
      </w:r>
    </w:p>
    <w:p w14:paraId="02C930A6" w14:textId="708657EB" w:rsidR="005413BD" w:rsidRPr="00546FE0" w:rsidRDefault="000D23B1" w:rsidP="00E41FB9">
      <w:pPr>
        <w:pStyle w:val="En-tte"/>
        <w:numPr>
          <w:ilvl w:val="1"/>
          <w:numId w:val="28"/>
        </w:numPr>
        <w:tabs>
          <w:tab w:val="clear" w:pos="4536"/>
          <w:tab w:val="clear" w:pos="9072"/>
        </w:tabs>
        <w:spacing w:after="120" w:line="360" w:lineRule="auto"/>
        <w:jc w:val="both"/>
        <w:rPr>
          <w:rFonts w:ascii="Arial Narrow" w:hAnsi="Arial Narrow"/>
          <w:b/>
        </w:rPr>
      </w:pPr>
      <w:r>
        <w:rPr>
          <w:rFonts w:ascii="Arial Narrow" w:hAnsi="Arial Narrow"/>
          <w:b/>
        </w:rPr>
        <w:t xml:space="preserve"> </w:t>
      </w:r>
      <w:r w:rsidR="005413BD" w:rsidRPr="00546FE0">
        <w:rPr>
          <w:rFonts w:ascii="Arial Narrow" w:hAnsi="Arial Narrow"/>
          <w:b/>
        </w:rPr>
        <w:t>Délai global de paiement</w:t>
      </w:r>
    </w:p>
    <w:p w14:paraId="7B5C0949" w14:textId="685A1940"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w:t>
      </w:r>
      <w:r w:rsidR="00590216">
        <w:rPr>
          <w:rFonts w:ascii="Arial Narrow" w:hAnsi="Arial Narrow"/>
        </w:rPr>
        <w:t>EPMO-VGE</w:t>
      </w:r>
      <w:r w:rsidRPr="00546FE0">
        <w:rPr>
          <w:rFonts w:ascii="Arial Narrow" w:hAnsi="Arial Narrow"/>
        </w:rPr>
        <w:t xml:space="preserve"> se libèrera des sommes dues par virement bancaire dans un délai de trente (30) jours à compter soit de la réception de la facture, soit de la date de fin d'exécution des prestations si celle-ci est postérieure à la date de réception de la facture.</w:t>
      </w:r>
    </w:p>
    <w:p w14:paraId="397A9009" w14:textId="6ABF8C97" w:rsidR="004D1134" w:rsidRPr="00546FE0"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034DAAFD" w14:textId="52843DA5" w:rsidR="00367714" w:rsidRPr="00546FE0" w:rsidRDefault="00C258DB" w:rsidP="00E41FB9">
      <w:pPr>
        <w:pStyle w:val="En-tte"/>
        <w:numPr>
          <w:ilvl w:val="1"/>
          <w:numId w:val="28"/>
        </w:numPr>
        <w:tabs>
          <w:tab w:val="clear" w:pos="4536"/>
          <w:tab w:val="clear" w:pos="9072"/>
        </w:tabs>
        <w:spacing w:after="120" w:line="360" w:lineRule="auto"/>
        <w:jc w:val="both"/>
        <w:rPr>
          <w:rFonts w:ascii="Arial Narrow" w:hAnsi="Arial Narrow"/>
          <w:b/>
        </w:rPr>
      </w:pPr>
      <w:r>
        <w:rPr>
          <w:rFonts w:ascii="Arial Narrow" w:hAnsi="Arial Narrow"/>
          <w:b/>
        </w:rPr>
        <w:t xml:space="preserve"> </w:t>
      </w:r>
      <w:r w:rsidR="00367714" w:rsidRPr="00546FE0">
        <w:rPr>
          <w:rFonts w:ascii="Arial Narrow" w:hAnsi="Arial Narrow"/>
          <w:b/>
        </w:rPr>
        <w:t>Cession ou nantissement de créances</w:t>
      </w:r>
    </w:p>
    <w:p w14:paraId="44014DDF" w14:textId="26ADC628" w:rsidR="004D0CF2" w:rsidRDefault="00367714" w:rsidP="004D0CF2">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28F63E8A" w14:textId="4F38F623" w:rsidR="0030192B" w:rsidRDefault="0030192B" w:rsidP="004D0CF2">
      <w:pPr>
        <w:pStyle w:val="En-tte"/>
        <w:spacing w:after="120" w:line="360" w:lineRule="auto"/>
        <w:jc w:val="both"/>
        <w:rPr>
          <w:rFonts w:ascii="Arial Narrow" w:hAnsi="Arial Narrow"/>
        </w:rPr>
      </w:pPr>
    </w:p>
    <w:p w14:paraId="57476CE3" w14:textId="49425E8E" w:rsidR="00D331D9" w:rsidRDefault="00D331D9" w:rsidP="004D0CF2">
      <w:pPr>
        <w:pStyle w:val="En-tte"/>
        <w:spacing w:after="120" w:line="360" w:lineRule="auto"/>
        <w:jc w:val="both"/>
        <w:rPr>
          <w:rFonts w:ascii="Arial Narrow" w:hAnsi="Arial Narrow"/>
        </w:rPr>
      </w:pPr>
    </w:p>
    <w:p w14:paraId="1232452E" w14:textId="77777777" w:rsidR="00D331D9" w:rsidRPr="00546FE0" w:rsidRDefault="00D331D9"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FACTURATION</w:t>
      </w:r>
    </w:p>
    <w:p w14:paraId="288513C3" w14:textId="2BD5713E" w:rsidR="004C5CF1" w:rsidRPr="00546FE0" w:rsidRDefault="00E41FB9" w:rsidP="00E41FB9">
      <w:pPr>
        <w:pStyle w:val="En-tte"/>
        <w:numPr>
          <w:ilvl w:val="1"/>
          <w:numId w:val="29"/>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4C5CF1" w:rsidRPr="00546FE0">
        <w:rPr>
          <w:rFonts w:ascii="Arial Narrow" w:hAnsi="Arial Narrow"/>
          <w:b/>
        </w:rPr>
        <w:t>Contenu des factures</w:t>
      </w:r>
    </w:p>
    <w:p w14:paraId="1453F7BC" w14:textId="0C61FED6"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w:t>
      </w:r>
      <w:r w:rsidR="00590216">
        <w:rPr>
          <w:rFonts w:ascii="Arial Narrow" w:hAnsi="Arial Narrow"/>
        </w:rPr>
        <w:t>EPMO-VGE</w:t>
      </w:r>
      <w:r w:rsidRPr="00546FE0">
        <w:rPr>
          <w:rFonts w:ascii="Arial Narrow" w:hAnsi="Arial Narrow"/>
        </w:rPr>
        <w:t>.</w:t>
      </w:r>
    </w:p>
    <w:p w14:paraId="7453A8BE" w14:textId="77777777" w:rsidR="004C5CF1" w:rsidRPr="00546FE0" w:rsidRDefault="004C5CF1" w:rsidP="004D1134">
      <w:pPr>
        <w:pStyle w:val="En-tte"/>
        <w:spacing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63F999F8" w:rsidR="006A63E0" w:rsidRPr="00546FE0" w:rsidRDefault="006A63E0" w:rsidP="004D1134">
      <w:pPr>
        <w:pStyle w:val="En-tte"/>
        <w:numPr>
          <w:ilvl w:val="0"/>
          <w:numId w:val="32"/>
        </w:numPr>
        <w:spacing w:line="360" w:lineRule="auto"/>
        <w:rPr>
          <w:rFonts w:ascii="Arial Narrow" w:hAnsi="Arial Narrow"/>
        </w:rPr>
      </w:pPr>
      <w:proofErr w:type="gramStart"/>
      <w:r w:rsidRPr="00546FE0">
        <w:rPr>
          <w:rFonts w:ascii="Arial Narrow" w:hAnsi="Arial Narrow"/>
        </w:rPr>
        <w:t>la</w:t>
      </w:r>
      <w:proofErr w:type="gramEnd"/>
      <w:r w:rsidRPr="00546FE0">
        <w:rPr>
          <w:rFonts w:ascii="Arial Narrow" w:hAnsi="Arial Narrow"/>
        </w:rPr>
        <w:t xml:space="preserve"> date d’émission de la facture ;</w:t>
      </w:r>
    </w:p>
    <w:p w14:paraId="12C3650F" w14:textId="79949CAD" w:rsidR="006A63E0" w:rsidRPr="00546FE0" w:rsidRDefault="006A63E0" w:rsidP="004D1134">
      <w:pPr>
        <w:pStyle w:val="En-tte"/>
        <w:numPr>
          <w:ilvl w:val="0"/>
          <w:numId w:val="32"/>
        </w:numPr>
        <w:spacing w:line="360" w:lineRule="auto"/>
        <w:rPr>
          <w:rFonts w:ascii="Arial Narrow" w:hAnsi="Arial Narrow"/>
        </w:rPr>
      </w:pPr>
      <w:proofErr w:type="gramStart"/>
      <w:r w:rsidRPr="00546FE0">
        <w:rPr>
          <w:rFonts w:ascii="Arial Narrow" w:hAnsi="Arial Narrow"/>
        </w:rPr>
        <w:t>la</w:t>
      </w:r>
      <w:proofErr w:type="gramEnd"/>
      <w:r w:rsidRPr="00546FE0">
        <w:rPr>
          <w:rFonts w:ascii="Arial Narrow" w:hAnsi="Arial Narrow"/>
        </w:rPr>
        <w:t xml:space="preserve"> raison sociale, le n° SIRET, le n° de TVA intra-communautaire et l’adresse du titulaire ;</w:t>
      </w:r>
    </w:p>
    <w:p w14:paraId="6D08AF16" w14:textId="554B9407" w:rsidR="004C5CF1" w:rsidRPr="00546FE0" w:rsidRDefault="004C5CF1" w:rsidP="004D1134">
      <w:pPr>
        <w:pStyle w:val="En-tte"/>
        <w:numPr>
          <w:ilvl w:val="0"/>
          <w:numId w:val="32"/>
        </w:numPr>
        <w:spacing w:line="360" w:lineRule="auto"/>
        <w:rPr>
          <w:rFonts w:ascii="Arial Narrow" w:hAnsi="Arial Narrow"/>
        </w:rPr>
      </w:pPr>
      <w:proofErr w:type="gramStart"/>
      <w:r w:rsidRPr="00546FE0">
        <w:rPr>
          <w:rFonts w:ascii="Arial Narrow" w:hAnsi="Arial Narrow"/>
        </w:rPr>
        <w:t>la</w:t>
      </w:r>
      <w:proofErr w:type="gramEnd"/>
      <w:r w:rsidRPr="00546FE0">
        <w:rPr>
          <w:rFonts w:ascii="Arial Narrow" w:hAnsi="Arial Narrow"/>
        </w:rPr>
        <w:t xml:space="preserve"> désignation de la personne publique contractante à savoir </w:t>
      </w:r>
      <w:r w:rsidR="006A63E0" w:rsidRPr="00546FE0">
        <w:rPr>
          <w:rFonts w:ascii="Arial Narrow" w:hAnsi="Arial Narrow"/>
        </w:rPr>
        <w:t>l’</w:t>
      </w:r>
      <w:r w:rsidR="00590216">
        <w:rPr>
          <w:rFonts w:ascii="Arial Narrow" w:hAnsi="Arial Narrow"/>
        </w:rPr>
        <w:t>EPMO-VGE</w:t>
      </w:r>
      <w:r w:rsidRPr="00546FE0">
        <w:rPr>
          <w:rFonts w:ascii="Arial Narrow" w:hAnsi="Arial Narrow"/>
        </w:rPr>
        <w:t> ;</w:t>
      </w:r>
    </w:p>
    <w:p w14:paraId="0131D981" w14:textId="4F7AC20F" w:rsidR="006A63E0" w:rsidRPr="00546FE0" w:rsidRDefault="006A63E0" w:rsidP="004D1134">
      <w:pPr>
        <w:pStyle w:val="En-tte"/>
        <w:numPr>
          <w:ilvl w:val="0"/>
          <w:numId w:val="32"/>
        </w:numPr>
        <w:spacing w:line="360" w:lineRule="auto"/>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numéro de la facture ;</w:t>
      </w:r>
    </w:p>
    <w:p w14:paraId="7071DCBD" w14:textId="33739A68" w:rsidR="006A63E0" w:rsidRPr="00546FE0" w:rsidRDefault="006A63E0" w:rsidP="004D1134">
      <w:pPr>
        <w:pStyle w:val="En-tte"/>
        <w:numPr>
          <w:ilvl w:val="0"/>
          <w:numId w:val="32"/>
        </w:numPr>
        <w:spacing w:line="360" w:lineRule="auto"/>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numéro du marché, du bon de commande ou du marché subséquent ;</w:t>
      </w:r>
    </w:p>
    <w:p w14:paraId="5B2E2550" w14:textId="74F76344" w:rsidR="006A63E0" w:rsidRPr="00546FE0" w:rsidRDefault="006A63E0" w:rsidP="004D1134">
      <w:pPr>
        <w:pStyle w:val="En-tte"/>
        <w:numPr>
          <w:ilvl w:val="0"/>
          <w:numId w:val="32"/>
        </w:numPr>
        <w:spacing w:line="360" w:lineRule="auto"/>
        <w:rPr>
          <w:rFonts w:ascii="Arial Narrow" w:hAnsi="Arial Narrow"/>
        </w:rPr>
      </w:pPr>
      <w:proofErr w:type="gramStart"/>
      <w:r w:rsidRPr="00546FE0">
        <w:rPr>
          <w:rFonts w:ascii="Arial Narrow" w:hAnsi="Arial Narrow"/>
        </w:rPr>
        <w:t>la</w:t>
      </w:r>
      <w:proofErr w:type="gramEnd"/>
      <w:r w:rsidRPr="00546FE0">
        <w:rPr>
          <w:rFonts w:ascii="Arial Narrow" w:hAnsi="Arial Narrow"/>
        </w:rPr>
        <w:t xml:space="preserve"> désignation des prestations effectuées ;</w:t>
      </w:r>
    </w:p>
    <w:p w14:paraId="145A4D99" w14:textId="51A81F96" w:rsidR="006A63E0" w:rsidRPr="00546FE0" w:rsidRDefault="006A63E0" w:rsidP="004D1134">
      <w:pPr>
        <w:pStyle w:val="En-tte"/>
        <w:numPr>
          <w:ilvl w:val="0"/>
          <w:numId w:val="32"/>
        </w:numPr>
        <w:spacing w:line="360" w:lineRule="auto"/>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montant H.T. détaillé des prestations et les quantités ; </w:t>
      </w:r>
    </w:p>
    <w:p w14:paraId="675FB0C2" w14:textId="39D0AF4F" w:rsidR="006A63E0" w:rsidRPr="00546FE0" w:rsidRDefault="006A63E0" w:rsidP="004D1134">
      <w:pPr>
        <w:pStyle w:val="En-tte"/>
        <w:numPr>
          <w:ilvl w:val="0"/>
          <w:numId w:val="32"/>
        </w:numPr>
        <w:spacing w:line="360" w:lineRule="auto"/>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taux de TVA en vigueur et son montant ;</w:t>
      </w:r>
    </w:p>
    <w:p w14:paraId="5D0CFBEF" w14:textId="15E2402B" w:rsidR="006A63E0" w:rsidRPr="00546FE0" w:rsidRDefault="006A63E0" w:rsidP="004D1134">
      <w:pPr>
        <w:pStyle w:val="En-tte"/>
        <w:numPr>
          <w:ilvl w:val="0"/>
          <w:numId w:val="32"/>
        </w:numPr>
        <w:spacing w:line="360" w:lineRule="auto"/>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montant total TTC des prestations ;</w:t>
      </w:r>
    </w:p>
    <w:p w14:paraId="2116E355" w14:textId="23C47CA0" w:rsidR="006A63E0" w:rsidRPr="00546FE0" w:rsidRDefault="004C5CF1" w:rsidP="004D1134">
      <w:pPr>
        <w:pStyle w:val="En-tte"/>
        <w:numPr>
          <w:ilvl w:val="0"/>
          <w:numId w:val="32"/>
        </w:numPr>
        <w:spacing w:after="120" w:line="360" w:lineRule="auto"/>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numéro du compte bancaire du titulaire</w:t>
      </w:r>
      <w:r w:rsidR="006A63E0" w:rsidRPr="00546FE0">
        <w:rPr>
          <w:rFonts w:ascii="Arial Narrow" w:hAnsi="Arial Narrow"/>
        </w:rPr>
        <w:t>.</w:t>
      </w:r>
    </w:p>
    <w:p w14:paraId="061C06C1" w14:textId="01A7CD0A" w:rsidR="004C5CF1" w:rsidRPr="00546FE0" w:rsidRDefault="00E41FB9" w:rsidP="00E41FB9">
      <w:pPr>
        <w:pStyle w:val="En-tte"/>
        <w:numPr>
          <w:ilvl w:val="1"/>
          <w:numId w:val="29"/>
        </w:numPr>
        <w:tabs>
          <w:tab w:val="clear" w:pos="4536"/>
          <w:tab w:val="clear" w:pos="9072"/>
        </w:tabs>
        <w:spacing w:after="120" w:line="360" w:lineRule="auto"/>
        <w:jc w:val="both"/>
        <w:rPr>
          <w:rFonts w:ascii="Arial Narrow" w:hAnsi="Arial Narrow"/>
          <w:b/>
        </w:rPr>
      </w:pPr>
      <w:r>
        <w:rPr>
          <w:rFonts w:ascii="Arial Narrow" w:hAnsi="Arial Narrow"/>
          <w:b/>
        </w:rPr>
        <w:t xml:space="preserve"> </w:t>
      </w:r>
      <w:r w:rsidR="004C5CF1" w:rsidRPr="00546FE0">
        <w:rPr>
          <w:rFonts w:ascii="Arial Narrow" w:hAnsi="Arial Narrow"/>
          <w:b/>
        </w:rPr>
        <w:t>Obligation d’envoi de factures dématérialisées</w:t>
      </w:r>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8" w:history="1">
        <w:r w:rsidRPr="00546FE0">
          <w:rPr>
            <w:rStyle w:val="Lienhypertexte"/>
            <w:rFonts w:ascii="Arial Narrow" w:hAnsi="Arial Narrow"/>
            <w:bCs/>
            <w:i/>
          </w:rPr>
          <w:t>https://chorus-pro.gouv.fr/</w:t>
        </w:r>
      </w:hyperlink>
    </w:p>
    <w:p w14:paraId="1B601D57" w14:textId="3CFBC9C9" w:rsidR="006A63E0"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51524C99" w14:textId="3C248864" w:rsidR="004C5CF1" w:rsidRPr="00546FE0" w:rsidRDefault="00E41FB9" w:rsidP="00E41FB9">
      <w:pPr>
        <w:pStyle w:val="En-tte"/>
        <w:numPr>
          <w:ilvl w:val="1"/>
          <w:numId w:val="29"/>
        </w:numPr>
        <w:tabs>
          <w:tab w:val="clear" w:pos="4536"/>
          <w:tab w:val="clear" w:pos="9072"/>
        </w:tabs>
        <w:spacing w:after="120" w:line="360" w:lineRule="auto"/>
        <w:jc w:val="both"/>
        <w:rPr>
          <w:rFonts w:ascii="Arial Narrow" w:hAnsi="Arial Narrow"/>
          <w:b/>
        </w:rPr>
      </w:pPr>
      <w:r>
        <w:rPr>
          <w:rFonts w:ascii="Arial Narrow" w:hAnsi="Arial Narrow"/>
          <w:b/>
        </w:rPr>
        <w:t xml:space="preserve"> </w:t>
      </w:r>
      <w:r w:rsidR="006A63E0" w:rsidRPr="00546FE0">
        <w:rPr>
          <w:rFonts w:ascii="Arial Narrow" w:hAnsi="Arial Narrow"/>
          <w:b/>
        </w:rPr>
        <w:t>E</w:t>
      </w:r>
      <w:r w:rsidR="004C5CF1" w:rsidRPr="00546FE0">
        <w:rPr>
          <w:rFonts w:ascii="Arial Narrow" w:hAnsi="Arial Narrow"/>
          <w:b/>
        </w:rPr>
        <w:t>nvoi des factures dématérialisées</w:t>
      </w:r>
    </w:p>
    <w:p w14:paraId="5D517A0C" w14:textId="77777777" w:rsidR="004C5CF1" w:rsidRPr="00546FE0" w:rsidRDefault="006A63E0" w:rsidP="004D1134">
      <w:pPr>
        <w:pStyle w:val="En-tte"/>
        <w:spacing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2002ECE5" w:rsidR="004C5CF1" w:rsidRPr="00546FE0" w:rsidRDefault="004C5CF1" w:rsidP="004D1134">
      <w:pPr>
        <w:pStyle w:val="En-tte"/>
        <w:numPr>
          <w:ilvl w:val="0"/>
          <w:numId w:val="33"/>
        </w:numPr>
        <w:spacing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de l’</w:t>
      </w:r>
      <w:r w:rsidR="00590216">
        <w:rPr>
          <w:rFonts w:ascii="Arial Narrow" w:hAnsi="Arial Narrow"/>
        </w:rPr>
        <w:t>EPMO-VGE</w:t>
      </w:r>
      <w:r w:rsidR="006A63E0" w:rsidRPr="00546FE0">
        <w:rPr>
          <w:rFonts w:ascii="Arial Narrow" w:hAnsi="Arial Narrow"/>
        </w:rPr>
        <w:t xml:space="preserve"> : </w:t>
      </w:r>
      <w:r w:rsidR="003978C9" w:rsidRPr="00546FE0">
        <w:rPr>
          <w:rFonts w:ascii="Arial Narrow" w:hAnsi="Arial Narrow"/>
        </w:rPr>
        <w:t>180 092 447 00010</w:t>
      </w:r>
      <w:r w:rsidRPr="00546FE0">
        <w:rPr>
          <w:rFonts w:ascii="Arial Narrow" w:hAnsi="Arial Narrow"/>
        </w:rPr>
        <w:t> ;</w:t>
      </w:r>
    </w:p>
    <w:p w14:paraId="247B29F2" w14:textId="22F7A067" w:rsidR="003978C9" w:rsidRPr="000D23B1" w:rsidRDefault="000D23B1" w:rsidP="004D1134">
      <w:pPr>
        <w:pStyle w:val="En-tte"/>
        <w:numPr>
          <w:ilvl w:val="0"/>
          <w:numId w:val="33"/>
        </w:numPr>
        <w:spacing w:line="360" w:lineRule="auto"/>
        <w:jc w:val="both"/>
        <w:rPr>
          <w:rFonts w:ascii="Arial Narrow" w:hAnsi="Arial Narrow"/>
          <w:i/>
        </w:rPr>
      </w:pPr>
      <w:r w:rsidRPr="000D23B1">
        <w:rPr>
          <w:rFonts w:ascii="Arial Narrow" w:hAnsi="Arial Narrow"/>
        </w:rPr>
        <w:t>Le</w:t>
      </w:r>
      <w:r w:rsidR="003978C9" w:rsidRPr="000D23B1">
        <w:rPr>
          <w:rFonts w:ascii="Arial Narrow" w:hAnsi="Arial Narrow"/>
        </w:rPr>
        <w:t xml:space="preserve"> code service qui sera mentionné dans le bon de commande ou le marché subséquent</w:t>
      </w:r>
      <w:r w:rsidR="00DF2D5F">
        <w:rPr>
          <w:rFonts w:ascii="Arial Narrow" w:hAnsi="Arial Narrow"/>
        </w:rPr>
        <w:t> ;</w:t>
      </w:r>
    </w:p>
    <w:p w14:paraId="2404FF4F" w14:textId="77777777" w:rsidR="004C5CF1" w:rsidRPr="00546FE0" w:rsidRDefault="004C5CF1" w:rsidP="004D1134">
      <w:pPr>
        <w:pStyle w:val="En-tte"/>
        <w:numPr>
          <w:ilvl w:val="0"/>
          <w:numId w:val="33"/>
        </w:numPr>
        <w:spacing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166168FE" w:rsidR="004C5CF1" w:rsidRPr="00546FE0" w:rsidRDefault="004C5CF1" w:rsidP="004D1134">
      <w:pPr>
        <w:pStyle w:val="En-tte"/>
        <w:numPr>
          <w:ilvl w:val="0"/>
          <w:numId w:val="3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53242C70" w14:textId="77777777" w:rsidR="00F00B40" w:rsidRPr="00546FE0" w:rsidRDefault="00F00B40" w:rsidP="007F2E3E">
      <w:pPr>
        <w:pStyle w:val="En-tte"/>
        <w:spacing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40A3F625" w14:textId="671F710F" w:rsidR="004A157C" w:rsidRPr="00546FE0" w:rsidRDefault="004A157C" w:rsidP="006465DC">
      <w:pPr>
        <w:pStyle w:val="En-tte"/>
        <w:spacing w:after="120" w:line="360" w:lineRule="auto"/>
        <w:jc w:val="both"/>
        <w:rPr>
          <w:rFonts w:ascii="Arial Narrow" w:hAnsi="Arial Narrow"/>
        </w:rPr>
      </w:pPr>
    </w:p>
    <w:p w14:paraId="6D26BA49" w14:textId="1506AB89" w:rsidR="007D159B" w:rsidRPr="004D1134"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4D1134">
        <w:rPr>
          <w:rFonts w:ascii="Arial Narrow" w:hAnsi="Arial Narrow"/>
          <w:b/>
        </w:rPr>
        <w:lastRenderedPageBreak/>
        <w:t>PENALITES</w:t>
      </w:r>
      <w:r w:rsidR="00770306" w:rsidRPr="004D1134">
        <w:rPr>
          <w:rFonts w:ascii="Arial Narrow" w:hAnsi="Arial Narrow"/>
          <w:b/>
        </w:rPr>
        <w:t xml:space="preserve"> </w:t>
      </w:r>
    </w:p>
    <w:p w14:paraId="01C5825A" w14:textId="199CC5A8" w:rsidR="007D159B" w:rsidRPr="00546FE0" w:rsidRDefault="004A157C" w:rsidP="004A157C">
      <w:pPr>
        <w:pStyle w:val="En-tte"/>
        <w:spacing w:after="120" w:line="360" w:lineRule="auto"/>
        <w:jc w:val="both"/>
        <w:rPr>
          <w:rFonts w:ascii="Arial Narrow" w:hAnsi="Arial Narrow"/>
        </w:rPr>
      </w:pPr>
      <w:r w:rsidRPr="00546FE0">
        <w:rPr>
          <w:rFonts w:ascii="Arial Narrow" w:hAnsi="Arial Narrow"/>
        </w:rPr>
        <w:t>L’</w:t>
      </w:r>
      <w:r w:rsidR="00590216">
        <w:rPr>
          <w:rFonts w:ascii="Arial Narrow" w:hAnsi="Arial Narrow"/>
        </w:rPr>
        <w:t>EPMO-VGE</w:t>
      </w:r>
      <w:r w:rsidRPr="00546FE0">
        <w:rPr>
          <w:rFonts w:ascii="Arial Narrow" w:hAnsi="Arial Narrow"/>
        </w:rPr>
        <w:t xml:space="preserve"> se réserve la possibilité d’appliquer des pénalités au titulaire en cas de manquement dans l’exécution des prestations.</w:t>
      </w:r>
    </w:p>
    <w:p w14:paraId="112665AE" w14:textId="7FD71564" w:rsidR="004A157C" w:rsidRPr="00546FE0" w:rsidRDefault="004A157C" w:rsidP="004A157C">
      <w:pPr>
        <w:pStyle w:val="En-tte"/>
        <w:spacing w:after="120" w:line="360" w:lineRule="auto"/>
        <w:jc w:val="both"/>
        <w:rPr>
          <w:rFonts w:ascii="Arial Narrow" w:hAnsi="Arial Narrow"/>
        </w:rPr>
      </w:pPr>
      <w:r w:rsidRPr="00546FE0">
        <w:rPr>
          <w:rFonts w:ascii="Arial Narrow" w:hAnsi="Arial Narrow"/>
        </w:rPr>
        <w:t xml:space="preserve">Par dérogation </w:t>
      </w:r>
      <w:r w:rsidR="002F4374" w:rsidRPr="00546FE0">
        <w:rPr>
          <w:rFonts w:ascii="Arial Narrow" w:hAnsi="Arial Narrow"/>
        </w:rPr>
        <w:t>au 2</w:t>
      </w:r>
      <w:r w:rsidR="002F4374" w:rsidRPr="00546FE0">
        <w:rPr>
          <w:rFonts w:ascii="Arial Narrow" w:hAnsi="Arial Narrow"/>
          <w:vertAlign w:val="superscript"/>
        </w:rPr>
        <w:t>ème</w:t>
      </w:r>
      <w:r w:rsidR="002F4374" w:rsidRPr="00546FE0">
        <w:rPr>
          <w:rFonts w:ascii="Arial Narrow" w:hAnsi="Arial Narrow"/>
        </w:rPr>
        <w:t xml:space="preserve"> alinéa de </w:t>
      </w:r>
      <w:r w:rsidRPr="00546FE0">
        <w:rPr>
          <w:rFonts w:ascii="Arial Narrow" w:hAnsi="Arial Narrow"/>
        </w:rPr>
        <w:t>l’article 14.1</w:t>
      </w:r>
      <w:r w:rsidR="002F4374" w:rsidRPr="00546FE0">
        <w:rPr>
          <w:rFonts w:ascii="Arial Narrow" w:hAnsi="Arial Narrow"/>
        </w:rPr>
        <w:t>.1</w:t>
      </w:r>
      <w:r w:rsidRPr="00546FE0">
        <w:rPr>
          <w:rFonts w:ascii="Arial Narrow" w:hAnsi="Arial Narrow"/>
        </w:rPr>
        <w:t xml:space="preserve"> du CCAG-FCS, l’</w:t>
      </w:r>
      <w:r w:rsidR="00590216">
        <w:rPr>
          <w:rFonts w:ascii="Arial Narrow" w:hAnsi="Arial Narrow"/>
        </w:rPr>
        <w:t>EPMO-VGE</w:t>
      </w:r>
      <w:r w:rsidRPr="00546FE0">
        <w:rPr>
          <w:rFonts w:ascii="Arial Narrow" w:hAnsi="Arial Narrow"/>
        </w:rPr>
        <w:t xml:space="preserve"> n’invitera pas préalablement le titulaire à présenter ses observations.</w:t>
      </w:r>
    </w:p>
    <w:p w14:paraId="0917736C" w14:textId="0E75A81C" w:rsidR="007D159B" w:rsidRDefault="004A157C" w:rsidP="004C5CF1">
      <w:pPr>
        <w:pStyle w:val="En-tte"/>
        <w:spacing w:after="120" w:line="360" w:lineRule="auto"/>
        <w:rPr>
          <w:rFonts w:ascii="Arial Narrow" w:hAnsi="Arial Narrow"/>
        </w:rPr>
      </w:pPr>
      <w:r w:rsidRPr="00546FE0">
        <w:rPr>
          <w:rFonts w:ascii="Arial Narrow" w:hAnsi="Arial Narrow"/>
        </w:rPr>
        <w:t xml:space="preserve">En outre, </w:t>
      </w:r>
      <w:r w:rsidR="002F4374" w:rsidRPr="00546FE0">
        <w:rPr>
          <w:rFonts w:ascii="Arial Narrow" w:hAnsi="Arial Narrow"/>
        </w:rPr>
        <w:t>il n’est pas fait application de l’article 14.1.3 du CCAG-FCS.</w:t>
      </w:r>
    </w:p>
    <w:p w14:paraId="42FE766C" w14:textId="4DBEDBFC" w:rsidR="00D20371" w:rsidRDefault="00D20371" w:rsidP="00D20371">
      <w:pPr>
        <w:pStyle w:val="En-tte"/>
        <w:spacing w:after="120" w:line="360" w:lineRule="auto"/>
        <w:jc w:val="both"/>
        <w:rPr>
          <w:rFonts w:ascii="Arial Narrow" w:hAnsi="Arial Narrow"/>
        </w:rPr>
      </w:pPr>
      <w:r w:rsidRPr="00D20371">
        <w:rPr>
          <w:rFonts w:ascii="Arial Narrow" w:hAnsi="Arial Narrow"/>
        </w:rPr>
        <w:t>Les pénalités seront calculées sur le montant hors taxes des prestations de chaque marché subséquent auxquelles elle se rapportent.</w:t>
      </w:r>
      <w:r>
        <w:rPr>
          <w:rFonts w:ascii="Arial Narrow" w:hAnsi="Arial Narrow"/>
        </w:rPr>
        <w:t xml:space="preserve"> Les pénalités sont nettes de TV</w:t>
      </w:r>
      <w:r w:rsidRPr="00D20371">
        <w:rPr>
          <w:rFonts w:ascii="Arial Narrow" w:hAnsi="Arial Narrow"/>
        </w:rPr>
        <w:t>A et sont cumulables entre elles.</w:t>
      </w:r>
    </w:p>
    <w:p w14:paraId="63B3AAFB" w14:textId="2C40DA3C" w:rsidR="002F4374" w:rsidRPr="00546FE0" w:rsidRDefault="00D20371" w:rsidP="00D20371">
      <w:pPr>
        <w:pStyle w:val="En-tte"/>
        <w:spacing w:after="120" w:line="360" w:lineRule="auto"/>
        <w:jc w:val="both"/>
        <w:rPr>
          <w:rFonts w:ascii="Arial Narrow" w:hAnsi="Arial Narrow"/>
        </w:rPr>
      </w:pPr>
      <w:r>
        <w:rPr>
          <w:rFonts w:ascii="Arial Narrow" w:hAnsi="Arial Narrow"/>
        </w:rPr>
        <w:t>L</w:t>
      </w:r>
      <w:r w:rsidRPr="00D20371">
        <w:rPr>
          <w:rFonts w:ascii="Arial Narrow" w:hAnsi="Arial Narrow"/>
        </w:rPr>
        <w:t>es dispositions suivantes s’appliquent en cas de manquement du titulaire et peuvent être complétées par des dispositions spécifiques aux marchés subsé</w:t>
      </w:r>
      <w:r>
        <w:rPr>
          <w:rFonts w:ascii="Arial Narrow" w:hAnsi="Arial Narrow"/>
        </w:rPr>
        <w:t>quents</w:t>
      </w:r>
      <w:r w:rsidR="002F4374" w:rsidRPr="00546FE0">
        <w:rPr>
          <w:rFonts w:ascii="Arial Narrow" w:hAnsi="Arial Narrow"/>
        </w:rPr>
        <w:t> :</w:t>
      </w:r>
    </w:p>
    <w:tbl>
      <w:tblPr>
        <w:tblStyle w:val="Grilledutableau1"/>
        <w:tblW w:w="9067" w:type="dxa"/>
        <w:tblLook w:val="04A0" w:firstRow="1" w:lastRow="0" w:firstColumn="1" w:lastColumn="0" w:noHBand="0" w:noVBand="1"/>
      </w:tblPr>
      <w:tblGrid>
        <w:gridCol w:w="6374"/>
        <w:gridCol w:w="2693"/>
      </w:tblGrid>
      <w:tr w:rsidR="00172EC3" w:rsidRPr="00546FE0" w14:paraId="61BE234C" w14:textId="77777777" w:rsidTr="00172EC3">
        <w:tc>
          <w:tcPr>
            <w:tcW w:w="6374" w:type="dxa"/>
            <w:shd w:val="clear" w:color="auto" w:fill="BDD6EE" w:themeFill="accent1" w:themeFillTint="66"/>
            <w:vAlign w:val="center"/>
          </w:tcPr>
          <w:p w14:paraId="7EB35A96" w14:textId="77777777" w:rsidR="00172EC3" w:rsidRPr="00546FE0" w:rsidRDefault="00172EC3" w:rsidP="009D0E3A">
            <w:pPr>
              <w:spacing w:after="60" w:line="276" w:lineRule="auto"/>
              <w:jc w:val="center"/>
              <w:rPr>
                <w:rFonts w:ascii="Arial Narrow" w:eastAsia="Calibri" w:hAnsi="Arial Narrow" w:cs="Arial"/>
                <w:b/>
                <w:sz w:val="20"/>
                <w:szCs w:val="24"/>
                <w:lang w:eastAsia="ar-SA"/>
              </w:rPr>
            </w:pPr>
            <w:r w:rsidRPr="00546FE0">
              <w:rPr>
                <w:rFonts w:ascii="Arial Narrow" w:eastAsia="Calibri" w:hAnsi="Arial Narrow" w:cs="Arial"/>
                <w:b/>
                <w:sz w:val="20"/>
                <w:szCs w:val="24"/>
                <w:lang w:eastAsia="ar-SA"/>
              </w:rPr>
              <w:t>Pénalités</w:t>
            </w:r>
          </w:p>
        </w:tc>
        <w:tc>
          <w:tcPr>
            <w:tcW w:w="2693" w:type="dxa"/>
            <w:shd w:val="clear" w:color="auto" w:fill="BDD6EE" w:themeFill="accent1" w:themeFillTint="66"/>
            <w:vAlign w:val="center"/>
          </w:tcPr>
          <w:p w14:paraId="46590FC0" w14:textId="77777777" w:rsidR="00172EC3" w:rsidRPr="00546FE0" w:rsidRDefault="00172EC3" w:rsidP="009D0E3A">
            <w:pPr>
              <w:spacing w:after="60" w:line="276" w:lineRule="auto"/>
              <w:jc w:val="center"/>
              <w:rPr>
                <w:rFonts w:ascii="Arial Narrow" w:eastAsia="Calibri" w:hAnsi="Arial Narrow" w:cs="Arial"/>
                <w:b/>
                <w:sz w:val="20"/>
                <w:lang w:eastAsia="ar-SA"/>
              </w:rPr>
            </w:pPr>
            <w:r w:rsidRPr="00546FE0">
              <w:rPr>
                <w:rFonts w:ascii="Arial Narrow" w:eastAsia="Calibri" w:hAnsi="Arial Narrow" w:cs="Arial"/>
                <w:b/>
                <w:sz w:val="20"/>
                <w:lang w:eastAsia="ar-SA"/>
              </w:rPr>
              <w:t>Coûts</w:t>
            </w:r>
          </w:p>
        </w:tc>
      </w:tr>
      <w:tr w:rsidR="00172EC3" w:rsidRPr="00546FE0" w14:paraId="7277D842" w14:textId="77777777" w:rsidTr="00172EC3">
        <w:tc>
          <w:tcPr>
            <w:tcW w:w="6374" w:type="dxa"/>
            <w:vAlign w:val="center"/>
          </w:tcPr>
          <w:p w14:paraId="565CFFB0" w14:textId="007E64E7" w:rsidR="00172EC3" w:rsidRPr="00546FE0" w:rsidRDefault="00172EC3" w:rsidP="009D0E3A">
            <w:pPr>
              <w:spacing w:after="60" w:line="276" w:lineRule="auto"/>
              <w:rPr>
                <w:rFonts w:ascii="Arial Narrow" w:eastAsia="Calibri" w:hAnsi="Arial Narrow" w:cs="Arial"/>
                <w:sz w:val="20"/>
                <w:lang w:eastAsia="ar-SA"/>
              </w:rPr>
            </w:pPr>
            <w:r>
              <w:rPr>
                <w:rFonts w:ascii="Arial Narrow" w:eastAsia="Calibri" w:hAnsi="Arial Narrow" w:cs="Arial"/>
                <w:sz w:val="20"/>
                <w:lang w:eastAsia="ar-SA"/>
              </w:rPr>
              <w:t>Pénalité de retard dans l’exécution des prestations, s</w:t>
            </w:r>
            <w:r w:rsidRPr="00172EC3">
              <w:rPr>
                <w:rFonts w:ascii="Arial Narrow" w:eastAsia="Calibri" w:hAnsi="Arial Narrow" w:cs="Arial"/>
                <w:sz w:val="20"/>
                <w:lang w:eastAsia="ar-SA"/>
              </w:rPr>
              <w:t>elon le calendrier fourni dans le marché subséquent</w:t>
            </w:r>
          </w:p>
        </w:tc>
        <w:tc>
          <w:tcPr>
            <w:tcW w:w="2693" w:type="dxa"/>
            <w:vAlign w:val="center"/>
          </w:tcPr>
          <w:p w14:paraId="03586DC5" w14:textId="49B0E69D" w:rsidR="00172EC3" w:rsidRPr="004D1134" w:rsidRDefault="00172EC3" w:rsidP="009D0E3A">
            <w:pPr>
              <w:spacing w:after="60" w:line="276" w:lineRule="auto"/>
              <w:rPr>
                <w:rFonts w:ascii="Arial Narrow" w:eastAsia="Calibri" w:hAnsi="Arial Narrow" w:cs="Arial"/>
                <w:sz w:val="20"/>
                <w:lang w:eastAsia="ar-SA"/>
              </w:rPr>
            </w:pPr>
            <w:r w:rsidRPr="004D1134">
              <w:rPr>
                <w:rFonts w:ascii="Arial Narrow" w:eastAsia="Calibri" w:hAnsi="Arial Narrow" w:cs="Arial"/>
                <w:sz w:val="20"/>
                <w:lang w:eastAsia="ar-SA"/>
              </w:rPr>
              <w:t>200 € HT par jour ouvré de retard</w:t>
            </w:r>
          </w:p>
        </w:tc>
      </w:tr>
      <w:tr w:rsidR="00172EC3" w:rsidRPr="00546FE0" w14:paraId="2CF85411" w14:textId="77777777" w:rsidTr="00172EC3">
        <w:tc>
          <w:tcPr>
            <w:tcW w:w="6374" w:type="dxa"/>
            <w:vAlign w:val="center"/>
          </w:tcPr>
          <w:p w14:paraId="7AB056EE" w14:textId="15849EFF" w:rsidR="00172EC3" w:rsidRPr="00546FE0" w:rsidRDefault="00172EC3" w:rsidP="009D0E3A">
            <w:pPr>
              <w:spacing w:after="60" w:line="276" w:lineRule="auto"/>
              <w:rPr>
                <w:rFonts w:ascii="Arial Narrow" w:eastAsia="Calibri" w:hAnsi="Arial Narrow" w:cs="Arial"/>
                <w:sz w:val="20"/>
                <w:lang w:eastAsia="ar-SA"/>
              </w:rPr>
            </w:pPr>
            <w:r>
              <w:rPr>
                <w:rFonts w:ascii="Arial Narrow" w:eastAsia="Calibri" w:hAnsi="Arial Narrow" w:cs="Arial"/>
                <w:sz w:val="20"/>
                <w:lang w:eastAsia="ar-SA"/>
              </w:rPr>
              <w:t xml:space="preserve">Pénalité d’absence aux réunions programmées par l’EPMO-VGE </w:t>
            </w:r>
            <w:r w:rsidRPr="00172EC3">
              <w:rPr>
                <w:rFonts w:ascii="Arial Narrow" w:eastAsia="Calibri" w:hAnsi="Arial Narrow" w:cs="Arial"/>
                <w:i/>
                <w:sz w:val="20"/>
                <w:lang w:eastAsia="ar-SA"/>
              </w:rPr>
              <w:t>(à noter que les réunions pourront se dérouler en visioconférence)</w:t>
            </w:r>
          </w:p>
        </w:tc>
        <w:tc>
          <w:tcPr>
            <w:tcW w:w="2693" w:type="dxa"/>
            <w:vAlign w:val="center"/>
          </w:tcPr>
          <w:p w14:paraId="636ECE97" w14:textId="2D10EA70" w:rsidR="00172EC3" w:rsidRPr="00546FE0" w:rsidRDefault="00172EC3" w:rsidP="009D0E3A">
            <w:pPr>
              <w:spacing w:after="60" w:line="276" w:lineRule="auto"/>
              <w:rPr>
                <w:rFonts w:ascii="Arial Narrow" w:eastAsia="Calibri" w:hAnsi="Arial Narrow" w:cs="Arial"/>
                <w:sz w:val="20"/>
                <w:lang w:eastAsia="ar-SA"/>
              </w:rPr>
            </w:pPr>
            <w:r>
              <w:rPr>
                <w:rFonts w:ascii="Arial Narrow" w:eastAsia="Calibri" w:hAnsi="Arial Narrow" w:cs="Arial"/>
                <w:sz w:val="20"/>
                <w:lang w:eastAsia="ar-SA"/>
              </w:rPr>
              <w:t>50</w:t>
            </w:r>
            <w:r w:rsidRPr="00546FE0">
              <w:rPr>
                <w:rFonts w:ascii="Arial Narrow" w:eastAsia="Calibri" w:hAnsi="Arial Narrow" w:cs="Arial"/>
                <w:sz w:val="20"/>
                <w:lang w:eastAsia="ar-SA"/>
              </w:rPr>
              <w:t xml:space="preserve"> € HT par </w:t>
            </w:r>
            <w:r>
              <w:rPr>
                <w:rFonts w:ascii="Arial Narrow" w:eastAsia="Calibri" w:hAnsi="Arial Narrow" w:cs="Arial"/>
                <w:sz w:val="20"/>
                <w:lang w:eastAsia="ar-SA"/>
              </w:rPr>
              <w:t>absence</w:t>
            </w:r>
          </w:p>
        </w:tc>
      </w:tr>
      <w:tr w:rsidR="00172EC3" w:rsidRPr="00546FE0" w14:paraId="72CD5DA7" w14:textId="77777777" w:rsidTr="00172EC3">
        <w:tc>
          <w:tcPr>
            <w:tcW w:w="6374" w:type="dxa"/>
            <w:vAlign w:val="center"/>
          </w:tcPr>
          <w:p w14:paraId="21E33782" w14:textId="790B914C" w:rsidR="00172EC3" w:rsidRDefault="00172EC3" w:rsidP="009D0E3A">
            <w:pPr>
              <w:spacing w:after="60" w:line="276" w:lineRule="auto"/>
              <w:rPr>
                <w:rFonts w:ascii="Arial Narrow" w:eastAsia="Calibri" w:hAnsi="Arial Narrow" w:cs="Arial"/>
                <w:sz w:val="20"/>
                <w:lang w:eastAsia="ar-SA"/>
              </w:rPr>
            </w:pPr>
            <w:r>
              <w:rPr>
                <w:rFonts w:ascii="Arial Narrow" w:eastAsia="Calibri" w:hAnsi="Arial Narrow" w:cs="Arial"/>
                <w:sz w:val="20"/>
                <w:lang w:eastAsia="ar-SA"/>
              </w:rPr>
              <w:t>N</w:t>
            </w:r>
            <w:r w:rsidRPr="00D20371">
              <w:rPr>
                <w:rFonts w:ascii="Arial Narrow" w:eastAsia="Calibri" w:hAnsi="Arial Narrow" w:cs="Arial"/>
                <w:sz w:val="20"/>
                <w:lang w:eastAsia="ar-SA"/>
              </w:rPr>
              <w:t>on-respect des dispositions du mémoire technique</w:t>
            </w:r>
            <w:r>
              <w:rPr>
                <w:rFonts w:ascii="Arial Narrow" w:eastAsia="Calibri" w:hAnsi="Arial Narrow" w:cs="Arial"/>
                <w:sz w:val="20"/>
                <w:lang w:eastAsia="ar-SA"/>
              </w:rPr>
              <w:t xml:space="preserve"> du titulaire</w:t>
            </w:r>
          </w:p>
        </w:tc>
        <w:tc>
          <w:tcPr>
            <w:tcW w:w="2693" w:type="dxa"/>
            <w:vAlign w:val="center"/>
          </w:tcPr>
          <w:p w14:paraId="24F1FEEC" w14:textId="0593DA11" w:rsidR="00172EC3" w:rsidRDefault="00172EC3" w:rsidP="009D0E3A">
            <w:pPr>
              <w:spacing w:after="60" w:line="276" w:lineRule="auto"/>
              <w:rPr>
                <w:rFonts w:ascii="Arial Narrow" w:eastAsia="Calibri" w:hAnsi="Arial Narrow" w:cs="Arial"/>
                <w:sz w:val="20"/>
                <w:lang w:eastAsia="ar-SA"/>
              </w:rPr>
            </w:pPr>
            <w:r>
              <w:rPr>
                <w:rFonts w:ascii="Arial Narrow" w:eastAsia="Calibri" w:hAnsi="Arial Narrow" w:cs="Arial"/>
                <w:sz w:val="20"/>
                <w:lang w:eastAsia="ar-SA"/>
              </w:rPr>
              <w:t>150 € HT par manquement</w:t>
            </w:r>
          </w:p>
        </w:tc>
      </w:tr>
      <w:tr w:rsidR="00172EC3" w:rsidRPr="00546FE0" w14:paraId="21104AC4" w14:textId="77777777" w:rsidTr="00172EC3">
        <w:tc>
          <w:tcPr>
            <w:tcW w:w="6374" w:type="dxa"/>
            <w:vAlign w:val="center"/>
          </w:tcPr>
          <w:p w14:paraId="58D9FE69" w14:textId="6B406A33" w:rsidR="00172EC3" w:rsidRDefault="00172EC3" w:rsidP="009D0E3A">
            <w:pPr>
              <w:spacing w:after="60" w:line="276" w:lineRule="auto"/>
              <w:rPr>
                <w:rFonts w:ascii="Arial Narrow" w:eastAsia="Calibri" w:hAnsi="Arial Narrow" w:cs="Arial"/>
                <w:sz w:val="20"/>
                <w:lang w:eastAsia="ar-SA"/>
              </w:rPr>
            </w:pPr>
            <w:r>
              <w:rPr>
                <w:rFonts w:ascii="Arial Narrow" w:eastAsia="Calibri" w:hAnsi="Arial Narrow" w:cs="Arial"/>
                <w:sz w:val="20"/>
                <w:lang w:eastAsia="ar-SA"/>
              </w:rPr>
              <w:t>N</w:t>
            </w:r>
            <w:r w:rsidRPr="00D20371">
              <w:rPr>
                <w:rFonts w:ascii="Arial Narrow" w:eastAsia="Calibri" w:hAnsi="Arial Narrow" w:cs="Arial"/>
                <w:sz w:val="20"/>
                <w:lang w:eastAsia="ar-SA"/>
              </w:rPr>
              <w:t>on-respect des moyens en personnel et/ou en matériel</w:t>
            </w:r>
            <w:r>
              <w:rPr>
                <w:rFonts w:ascii="Arial Narrow" w:eastAsia="Calibri" w:hAnsi="Arial Narrow" w:cs="Arial"/>
                <w:sz w:val="20"/>
                <w:lang w:eastAsia="ar-SA"/>
              </w:rPr>
              <w:t xml:space="preserve"> indiqués dans l’offre constitutive du marché subséquent</w:t>
            </w:r>
          </w:p>
        </w:tc>
        <w:tc>
          <w:tcPr>
            <w:tcW w:w="2693" w:type="dxa"/>
            <w:vAlign w:val="center"/>
          </w:tcPr>
          <w:p w14:paraId="67DCEA2A" w14:textId="59D1897F" w:rsidR="00172EC3" w:rsidRDefault="00172EC3" w:rsidP="009D0E3A">
            <w:pPr>
              <w:spacing w:after="60" w:line="276" w:lineRule="auto"/>
              <w:rPr>
                <w:rFonts w:ascii="Arial Narrow" w:eastAsia="Calibri" w:hAnsi="Arial Narrow" w:cs="Arial"/>
                <w:sz w:val="20"/>
                <w:lang w:eastAsia="ar-SA"/>
              </w:rPr>
            </w:pPr>
            <w:r>
              <w:rPr>
                <w:rFonts w:ascii="Arial Narrow" w:eastAsia="Calibri" w:hAnsi="Arial Narrow" w:cs="Arial"/>
                <w:sz w:val="20"/>
                <w:lang w:eastAsia="ar-SA"/>
              </w:rPr>
              <w:t>150 € HT par manquement</w:t>
            </w:r>
          </w:p>
        </w:tc>
      </w:tr>
      <w:tr w:rsidR="00172EC3" w:rsidRPr="00546FE0" w14:paraId="39980B8B" w14:textId="77777777" w:rsidTr="00172EC3">
        <w:tc>
          <w:tcPr>
            <w:tcW w:w="6374" w:type="dxa"/>
            <w:vAlign w:val="center"/>
          </w:tcPr>
          <w:p w14:paraId="6C6FA790" w14:textId="1DE66A2C" w:rsidR="00172EC3" w:rsidRDefault="00172EC3" w:rsidP="009D0E3A">
            <w:pPr>
              <w:spacing w:after="60" w:line="276" w:lineRule="auto"/>
              <w:rPr>
                <w:rFonts w:ascii="Arial Narrow" w:eastAsia="Calibri" w:hAnsi="Arial Narrow" w:cs="Arial"/>
                <w:sz w:val="20"/>
                <w:lang w:eastAsia="ar-SA"/>
              </w:rPr>
            </w:pPr>
            <w:r>
              <w:rPr>
                <w:rFonts w:ascii="Arial Narrow" w:eastAsia="Calibri" w:hAnsi="Arial Narrow" w:cs="Arial"/>
                <w:sz w:val="20"/>
                <w:lang w:eastAsia="ar-SA"/>
              </w:rPr>
              <w:t xml:space="preserve">Absence de réponse à minimum </w:t>
            </w:r>
            <w:r w:rsidRPr="005E4979">
              <w:rPr>
                <w:rFonts w:ascii="Arial Narrow" w:eastAsia="Calibri" w:hAnsi="Arial Narrow" w:cs="Arial"/>
                <w:sz w:val="20"/>
                <w:lang w:eastAsia="ar-SA"/>
              </w:rPr>
              <w:t>trois</w:t>
            </w:r>
            <w:bookmarkStart w:id="0" w:name="_GoBack"/>
            <w:bookmarkEnd w:id="0"/>
            <w:r>
              <w:rPr>
                <w:rFonts w:ascii="Arial Narrow" w:eastAsia="Calibri" w:hAnsi="Arial Narrow" w:cs="Arial"/>
                <w:sz w:val="20"/>
                <w:lang w:eastAsia="ar-SA"/>
              </w:rPr>
              <w:t xml:space="preserve"> marchés subséquents par année civile </w:t>
            </w:r>
          </w:p>
        </w:tc>
        <w:tc>
          <w:tcPr>
            <w:tcW w:w="2693" w:type="dxa"/>
            <w:vAlign w:val="center"/>
          </w:tcPr>
          <w:p w14:paraId="40814099" w14:textId="246F9E7A" w:rsidR="00172EC3" w:rsidRDefault="00172EC3" w:rsidP="009D0E3A">
            <w:pPr>
              <w:spacing w:after="60" w:line="276" w:lineRule="auto"/>
              <w:rPr>
                <w:rFonts w:ascii="Arial Narrow" w:eastAsia="Calibri" w:hAnsi="Arial Narrow" w:cs="Arial"/>
                <w:sz w:val="20"/>
                <w:lang w:eastAsia="ar-SA"/>
              </w:rPr>
            </w:pPr>
            <w:r>
              <w:rPr>
                <w:rFonts w:ascii="Arial Narrow" w:eastAsia="Calibri" w:hAnsi="Arial Narrow" w:cs="Arial"/>
                <w:sz w:val="20"/>
                <w:lang w:eastAsia="ar-SA"/>
              </w:rPr>
              <w:t xml:space="preserve">500 € HT par année </w:t>
            </w:r>
          </w:p>
        </w:tc>
      </w:tr>
    </w:tbl>
    <w:p w14:paraId="4DBDE884" w14:textId="77777777" w:rsidR="002F4374" w:rsidRPr="00546FE0" w:rsidRDefault="002F4374" w:rsidP="002F4374">
      <w:pPr>
        <w:spacing w:after="0"/>
        <w:jc w:val="both"/>
        <w:rPr>
          <w:rFonts w:ascii="Arial Narrow" w:eastAsia="Calibri" w:hAnsi="Arial Narrow" w:cs="Arial"/>
          <w:sz w:val="20"/>
          <w:szCs w:val="20"/>
        </w:rPr>
      </w:pPr>
    </w:p>
    <w:p w14:paraId="098DEFB7" w14:textId="77777777" w:rsidR="002F4374" w:rsidRPr="00546FE0" w:rsidRDefault="005B11C8" w:rsidP="00FC4A03">
      <w:pPr>
        <w:pStyle w:val="En-tte"/>
        <w:spacing w:after="120" w:line="360" w:lineRule="auto"/>
        <w:jc w:val="both"/>
        <w:rPr>
          <w:rFonts w:ascii="Arial Narrow" w:hAnsi="Arial Narrow"/>
        </w:rPr>
      </w:pPr>
      <w:r w:rsidRPr="00546FE0">
        <w:rPr>
          <w:rFonts w:ascii="Arial Narrow" w:hAnsi="Arial Narrow"/>
        </w:rPr>
        <w:t>Les pénalités pour retard commencent à courir le lendemain du jour où le délai contractuel d’exécution des prestations est expiré.</w:t>
      </w:r>
    </w:p>
    <w:p w14:paraId="2531F834" w14:textId="77777777" w:rsidR="00043D85" w:rsidRPr="00546FE0" w:rsidRDefault="00043D85" w:rsidP="00FC4A03">
      <w:pPr>
        <w:pStyle w:val="En-tte"/>
        <w:spacing w:after="120" w:line="360" w:lineRule="auto"/>
        <w:jc w:val="both"/>
        <w:rPr>
          <w:rFonts w:ascii="Arial Narrow" w:hAnsi="Arial Narrow"/>
        </w:rPr>
      </w:pPr>
    </w:p>
    <w:p w14:paraId="090BA9A0" w14:textId="22507EF4"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1F772496" w14:textId="02AC7FC6"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Le titulaire peut sous-traiter l’exécution de certaines parties des prestations à condition d’avoir obtenu de l’</w:t>
      </w:r>
      <w:r w:rsidR="00590216">
        <w:rPr>
          <w:rFonts w:ascii="Arial Narrow" w:hAnsi="Arial Narrow"/>
        </w:rPr>
        <w:t>EPMO-VGE</w:t>
      </w:r>
      <w:r w:rsidRPr="00546FE0">
        <w:rPr>
          <w:rFonts w:ascii="Arial Narrow" w:hAnsi="Arial Narrow"/>
        </w:rPr>
        <w:t xml:space="preserve"> l’acceptation de chaque sous-traitant ainsi que l’agrément de ses conditions de paiement. </w:t>
      </w:r>
      <w:r w:rsidR="00476011" w:rsidRPr="00476011">
        <w:rPr>
          <w:rFonts w:ascii="Arial Narrow" w:hAnsi="Arial Narrow"/>
        </w:rPr>
        <w:t xml:space="preserve">Il est rappelé qu’en application des dispositions de l’article L. 2193-3 du code de la commande publique, </w:t>
      </w:r>
      <w:r w:rsidR="00476011" w:rsidRPr="00476011">
        <w:rPr>
          <w:rFonts w:ascii="Arial Narrow" w:hAnsi="Arial Narrow"/>
          <w:b/>
          <w:u w:val="single"/>
        </w:rPr>
        <w:t>le titulaire ne peut intégralement sous-traiter l’exécution des prestations du présent marché.</w:t>
      </w:r>
    </w:p>
    <w:p w14:paraId="37F71F8C" w14:textId="5ED2E95E" w:rsidR="003F5F33" w:rsidRPr="00546FE0" w:rsidRDefault="00043D85" w:rsidP="00085A6E">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elle pourra avoir lieu à tout moment pendant la durée du marché.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1E821946"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lastRenderedPageBreak/>
        <w:t xml:space="preserve">Lorsque le montant des prestations est égal ou supérieur au seuil de l’article </w:t>
      </w:r>
      <w:hyperlink r:id="rId9"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17B89C9B" w:rsidR="00043D85" w:rsidRPr="00546FE0" w:rsidRDefault="00043D85" w:rsidP="000D23B1">
      <w:pPr>
        <w:pStyle w:val="En-tte"/>
        <w:spacing w:after="120" w:line="360" w:lineRule="auto"/>
        <w:jc w:val="both"/>
        <w:rPr>
          <w:rFonts w:ascii="Arial Narrow" w:hAnsi="Arial Narrow"/>
        </w:rPr>
      </w:pPr>
      <w:r w:rsidRPr="00546FE0">
        <w:rPr>
          <w:rFonts w:ascii="Arial Narrow" w:hAnsi="Arial Narrow"/>
        </w:rPr>
        <w:t>La déclaration de sous-traitance doit en tout état de cause être adressée à l’</w:t>
      </w:r>
      <w:r w:rsidR="00590216">
        <w:rPr>
          <w:rFonts w:ascii="Arial Narrow" w:hAnsi="Arial Narrow"/>
        </w:rPr>
        <w:t>EPMO-VGE</w:t>
      </w:r>
      <w:r w:rsidR="003F5F33" w:rsidRPr="00546FE0">
        <w:rPr>
          <w:rFonts w:ascii="Arial Narrow" w:hAnsi="Arial Narrow"/>
        </w:rPr>
        <w:t xml:space="preserve"> </w:t>
      </w:r>
      <w:r w:rsidRPr="00546FE0">
        <w:rPr>
          <w:rFonts w:ascii="Arial Narrow" w:hAnsi="Arial Narrow"/>
        </w:rPr>
        <w:t xml:space="preserve">avant tout début </w:t>
      </w:r>
      <w:r w:rsidR="000D23B1">
        <w:rPr>
          <w:rFonts w:ascii="Arial Narrow" w:hAnsi="Arial Narrow"/>
        </w:rPr>
        <w:t>d</w:t>
      </w:r>
      <w:r w:rsidRPr="00546FE0">
        <w:rPr>
          <w:rFonts w:ascii="Arial Narrow" w:hAnsi="Arial Narrow"/>
        </w:rPr>
        <w:t>’intervention du sous-traitant.</w:t>
      </w:r>
    </w:p>
    <w:p w14:paraId="0ECBFF20"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264CB72B" w14:textId="5A3DB285"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3F5F33" w:rsidRPr="00546FE0">
        <w:rPr>
          <w:rFonts w:ascii="Arial Narrow" w:hAnsi="Arial Narrow"/>
        </w:rPr>
        <w:t>pose conformément au e) de l’article 41-1 du CCAG-FCS</w:t>
      </w:r>
      <w:r w:rsidRPr="00546FE0">
        <w:rPr>
          <w:rFonts w:ascii="Arial Narrow" w:hAnsi="Arial Narrow"/>
        </w:rPr>
        <w:t xml:space="preserve">. 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4B8001B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Lorsque le montant des prestations sous-traitées est supérieur à 600€ TTC, le sous-traitant est payé directement par l’</w:t>
      </w:r>
      <w:r w:rsidR="00590216">
        <w:rPr>
          <w:rFonts w:ascii="Arial Narrow" w:hAnsi="Arial Narrow"/>
        </w:rPr>
        <w:t>EPMO-VGE</w:t>
      </w:r>
      <w:r w:rsidRPr="00546FE0">
        <w:rPr>
          <w:rFonts w:ascii="Arial Narrow" w:hAnsi="Arial Narrow"/>
        </w:rPr>
        <w:t xml:space="preserve">. </w:t>
      </w:r>
    </w:p>
    <w:p w14:paraId="0A3820F6" w14:textId="77777777" w:rsidR="00043D85" w:rsidRPr="00546FE0" w:rsidRDefault="00043D85"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0698A506"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w:t>
      </w:r>
      <w:r w:rsidR="00590216">
        <w:rPr>
          <w:rFonts w:ascii="Arial Narrow" w:hAnsi="Arial Narrow"/>
        </w:rPr>
        <w:t>EPMO-VGE</w:t>
      </w:r>
      <w:r w:rsidRPr="00546FE0">
        <w:rPr>
          <w:rFonts w:ascii="Arial Narrow" w:hAnsi="Arial Narrow"/>
        </w:rPr>
        <w:t xml:space="preserve"> ou non, de son fait, ou du fait des biens dont il a la garde ou des personnes dont il est responsable.</w:t>
      </w:r>
    </w:p>
    <w:p w14:paraId="5CECA30E"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polices d'assurances nécessaires 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7D38365C" w14:textId="5CF02E68"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w:t>
      </w:r>
      <w:r w:rsidR="00590216">
        <w:rPr>
          <w:rFonts w:ascii="Arial Narrow" w:hAnsi="Arial Narrow"/>
        </w:rPr>
        <w:t>EPMO-VGE</w:t>
      </w:r>
      <w:r w:rsidRPr="00546FE0">
        <w:rPr>
          <w:rFonts w:ascii="Arial Narrow" w:hAnsi="Arial Narrow"/>
        </w:rPr>
        <w:t>, excepté en cas de faute ou malveillance de celui-ci.</w:t>
      </w:r>
    </w:p>
    <w:p w14:paraId="708A654C" w14:textId="77777777" w:rsidR="0030422B" w:rsidRPr="00546FE0" w:rsidRDefault="0030422B" w:rsidP="004C5CF1">
      <w:pPr>
        <w:pStyle w:val="En-tte"/>
        <w:spacing w:after="120" w:line="360" w:lineRule="auto"/>
        <w:rPr>
          <w:rFonts w:ascii="Arial Narrow" w:hAnsi="Arial Narrow"/>
        </w:rPr>
      </w:pPr>
    </w:p>
    <w:p w14:paraId="085D1ACF" w14:textId="77777777" w:rsidR="0030422B" w:rsidRPr="00546FE0" w:rsidRDefault="00CC605C" w:rsidP="00590216">
      <w:pPr>
        <w:pStyle w:val="En-tte"/>
        <w:numPr>
          <w:ilvl w:val="0"/>
          <w:numId w:val="2"/>
        </w:numPr>
        <w:pBdr>
          <w:bottom w:val="single" w:sz="4" w:space="0"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3317F635" w14:textId="3042E23C" w:rsidR="0030192B" w:rsidRPr="00726E74" w:rsidRDefault="0030192B" w:rsidP="0030192B">
      <w:pPr>
        <w:pStyle w:val="En-tte"/>
        <w:spacing w:after="120" w:line="360" w:lineRule="auto"/>
        <w:jc w:val="both"/>
        <w:rPr>
          <w:rFonts w:ascii="Arial Narrow" w:hAnsi="Arial Narrow"/>
        </w:rPr>
      </w:pPr>
      <w:r w:rsidRPr="00726E74">
        <w:rPr>
          <w:rFonts w:ascii="Arial Narrow" w:hAnsi="Arial Narrow"/>
        </w:rPr>
        <w:t xml:space="preserve">Le titulaire transmet à l’EPMO-VGE, tous les six mois et pendant toute la durée du marché au Directeur </w:t>
      </w:r>
      <w:r>
        <w:rPr>
          <w:rFonts w:ascii="Arial Narrow" w:hAnsi="Arial Narrow"/>
        </w:rPr>
        <w:t xml:space="preserve">administratif et financier </w:t>
      </w:r>
      <w:r w:rsidRPr="00726E74">
        <w:rPr>
          <w:rFonts w:ascii="Arial Narrow" w:hAnsi="Arial Narrow"/>
        </w:rPr>
        <w:t>de l’EPMO-VGE, via le service E-Attestation</w:t>
      </w:r>
      <w:r>
        <w:rPr>
          <w:rFonts w:ascii="Arial Narrow" w:hAnsi="Arial Narrow"/>
        </w:rPr>
        <w:t>s</w:t>
      </w:r>
      <w:r w:rsidRPr="00726E74">
        <w:rPr>
          <w:rFonts w:ascii="Arial Narrow" w:hAnsi="Arial Narrow"/>
        </w:rPr>
        <w:t xml:space="preserve"> accessible sur le lien suivant : </w:t>
      </w:r>
      <w:hyperlink r:id="rId10" w:history="1">
        <w:r w:rsidRPr="00726E74">
          <w:rPr>
            <w:rStyle w:val="Lienhypertexte"/>
            <w:rFonts w:ascii="Arial Narrow" w:hAnsi="Arial Narrow"/>
          </w:rPr>
          <w:t>https://www.e-attestations.com/</w:t>
        </w:r>
      </w:hyperlink>
      <w:r w:rsidRPr="00726E74">
        <w:rPr>
          <w:rFonts w:ascii="Arial Narrow" w:hAnsi="Arial Narrow"/>
        </w:rPr>
        <w:t xml:space="preserve"> :</w:t>
      </w:r>
    </w:p>
    <w:p w14:paraId="394D171C" w14:textId="34FDE636" w:rsidR="0030192B" w:rsidRPr="00726E74" w:rsidRDefault="0030192B" w:rsidP="0030192B">
      <w:pPr>
        <w:pStyle w:val="En-tte"/>
        <w:spacing w:after="120" w:line="360" w:lineRule="auto"/>
        <w:jc w:val="both"/>
        <w:rPr>
          <w:rFonts w:ascii="Arial Narrow" w:hAnsi="Arial Narrow"/>
        </w:rPr>
      </w:pPr>
      <w:r w:rsidRPr="00726E74">
        <w:rPr>
          <w:rFonts w:ascii="Arial Narrow" w:hAnsi="Arial Narrow"/>
        </w:rPr>
        <w:lastRenderedPageBreak/>
        <w:t>-</w:t>
      </w:r>
      <w:r w:rsidRPr="00726E74">
        <w:rPr>
          <w:rFonts w:ascii="Arial Narrow" w:hAnsi="Arial Narrow"/>
        </w:rPr>
        <w:tab/>
      </w:r>
      <w:r>
        <w:rPr>
          <w:rFonts w:ascii="Arial Narrow" w:hAnsi="Arial Narrow"/>
        </w:rPr>
        <w:t xml:space="preserve"> </w:t>
      </w:r>
      <w:r w:rsidRPr="00726E74">
        <w:rPr>
          <w:rFonts w:ascii="Arial Narrow" w:hAnsi="Arial Narrow"/>
        </w:rPr>
        <w:t>Les attestations et certificats délivrés par les administrations et organismes compétents prouvant que les obligations fiscales et sociales ont été satisfaites ou l’état annuel des certificats reçus ;</w:t>
      </w:r>
    </w:p>
    <w:p w14:paraId="5D7C6E6D" w14:textId="7364F6BB" w:rsidR="0030192B" w:rsidRPr="00726E74" w:rsidRDefault="0030192B" w:rsidP="0030192B">
      <w:pPr>
        <w:pStyle w:val="En-tte"/>
        <w:spacing w:after="120" w:line="360" w:lineRule="auto"/>
        <w:jc w:val="both"/>
        <w:rPr>
          <w:rFonts w:ascii="Arial Narrow" w:hAnsi="Arial Narrow"/>
        </w:rPr>
      </w:pPr>
      <w:r w:rsidRPr="00726E74">
        <w:rPr>
          <w:rFonts w:ascii="Arial Narrow" w:hAnsi="Arial Narrow"/>
        </w:rPr>
        <w:t>-</w:t>
      </w:r>
      <w:r>
        <w:rPr>
          <w:rFonts w:ascii="Arial Narrow" w:hAnsi="Arial Narrow"/>
        </w:rPr>
        <w:t xml:space="preserve"> </w:t>
      </w:r>
      <w:r w:rsidRPr="00726E74">
        <w:rPr>
          <w:rFonts w:ascii="Arial Narrow" w:hAnsi="Arial Narrow"/>
        </w:rPr>
        <w:tab/>
        <w:t>Un certificat délivré pour le paiement des cotisations auprès des organismes de sécurité sociale, des cotisations d’assurance vieillesse et d’assurance invalidité-décès, des cotisations de congés payés et de chômage intempéries ou attestant de la régularité du candidat au regard de l’obligation d’empl</w:t>
      </w:r>
      <w:r>
        <w:rPr>
          <w:rFonts w:ascii="Arial Narrow" w:hAnsi="Arial Narrow"/>
        </w:rPr>
        <w:t xml:space="preserve">oi des travailleurs handicapés ; </w:t>
      </w:r>
    </w:p>
    <w:p w14:paraId="09A542F6" w14:textId="15D8E1C6" w:rsidR="0030192B" w:rsidRDefault="0030192B" w:rsidP="0030192B">
      <w:pPr>
        <w:pStyle w:val="En-tte"/>
        <w:spacing w:after="120" w:line="360" w:lineRule="auto"/>
        <w:jc w:val="both"/>
        <w:rPr>
          <w:rFonts w:ascii="Arial Narrow" w:hAnsi="Arial Narrow"/>
        </w:rPr>
      </w:pPr>
      <w:r>
        <w:rPr>
          <w:rFonts w:ascii="Arial Narrow" w:hAnsi="Arial Narrow"/>
        </w:rPr>
        <w:t xml:space="preserve">- </w:t>
      </w:r>
      <w:r w:rsidRPr="00726E74">
        <w:rPr>
          <w:rFonts w:ascii="Arial Narrow" w:hAnsi="Arial Narrow"/>
        </w:rPr>
        <w:t>Une attestation d’assurance professionnelle.</w:t>
      </w:r>
    </w:p>
    <w:p w14:paraId="24069868" w14:textId="77777777" w:rsidR="0030192B" w:rsidRPr="00546FE0" w:rsidRDefault="0030192B" w:rsidP="0030192B">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2C119ABC" w14:textId="77777777" w:rsidR="0030192B" w:rsidRPr="00546FE0" w:rsidRDefault="0030192B" w:rsidP="0030192B">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titulaire pourra se voir infliger une pénalité de 50 € par jour calendaire de retard après l’issu du délai imparti pour fournir les documents, </w:t>
      </w:r>
    </w:p>
    <w:p w14:paraId="3A69E6AE" w14:textId="77777777" w:rsidR="0030192B" w:rsidRPr="00546FE0" w:rsidRDefault="0030192B" w:rsidP="0030192B">
      <w:pPr>
        <w:pStyle w:val="En-tte"/>
        <w:spacing w:after="120" w:line="360" w:lineRule="auto"/>
        <w:ind w:left="426"/>
        <w:jc w:val="both"/>
        <w:rPr>
          <w:rFonts w:ascii="Arial Narrow" w:hAnsi="Arial Narrow"/>
        </w:rPr>
      </w:pPr>
      <w:proofErr w:type="gramStart"/>
      <w:r w:rsidRPr="00546FE0">
        <w:rPr>
          <w:rFonts w:ascii="Arial Narrow" w:hAnsi="Arial Narrow"/>
        </w:rPr>
        <w:t>ou</w:t>
      </w:r>
      <w:proofErr w:type="gramEnd"/>
      <w:r w:rsidRPr="00546FE0">
        <w:rPr>
          <w:rFonts w:ascii="Arial Narrow" w:hAnsi="Arial Narrow"/>
        </w:rPr>
        <w:t xml:space="preserve"> bien, </w:t>
      </w:r>
    </w:p>
    <w:p w14:paraId="0BC36686" w14:textId="77777777" w:rsidR="0030192B" w:rsidRPr="00546FE0" w:rsidRDefault="0030192B" w:rsidP="0030192B">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marché pourra être résilié aux torts du titulaire sans que celui-ci puisse prétendre à indemnité et, le cas échéant, avec exécution des prestations à ses frais et risques.</w:t>
      </w:r>
    </w:p>
    <w:p w14:paraId="6240D6D4" w14:textId="056D53CB" w:rsidR="0030192B" w:rsidRDefault="0030192B" w:rsidP="0030192B">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 choix de l’alternative retenue relève de l’</w:t>
      </w:r>
      <w:r>
        <w:rPr>
          <w:rFonts w:ascii="Arial Narrow" w:hAnsi="Arial Narrow"/>
        </w:rPr>
        <w:t>EPMO-VGE</w:t>
      </w:r>
      <w:r w:rsidRPr="00546FE0">
        <w:rPr>
          <w:rFonts w:ascii="Arial Narrow" w:hAnsi="Arial Narrow"/>
        </w:rPr>
        <w:t>.</w:t>
      </w:r>
    </w:p>
    <w:p w14:paraId="0646F92E" w14:textId="1CD38348" w:rsidR="0030192B" w:rsidRPr="00546FE0" w:rsidRDefault="0030192B" w:rsidP="0030192B">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527593CA" w14:textId="77777777" w:rsidR="00CF6C06" w:rsidRPr="00F30726" w:rsidRDefault="00CF6C06" w:rsidP="00CF6C06">
      <w:pPr>
        <w:pStyle w:val="En-tte"/>
        <w:numPr>
          <w:ilvl w:val="0"/>
          <w:numId w:val="20"/>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03B39DC1"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1CB7A1C6"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4BC5E64C"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0220C263"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3DCDFC19"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224D2467" w14:textId="55FF7B92"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lastRenderedPageBreak/>
        <w:t>A ce titre, le titulaire informe l’</w:t>
      </w:r>
      <w:r w:rsidR="00590216">
        <w:rPr>
          <w:rFonts w:ascii="Arial Narrow" w:hAnsi="Arial Narrow"/>
        </w:rPr>
        <w:t>EPMO-VGE</w:t>
      </w:r>
      <w:r w:rsidRPr="00F30726">
        <w:rPr>
          <w:rFonts w:ascii="Arial Narrow" w:hAnsi="Arial Narrow"/>
        </w:rPr>
        <w:t xml:space="preserve"> des mesures mises en œuvre dans le cadre de l’exécution du présent marché pour assurer le respect de ces obligations ainsi que des mesures prévues pour remédier aux éventuels manquements. </w:t>
      </w:r>
    </w:p>
    <w:p w14:paraId="047A3B52" w14:textId="77777777"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6042593B" w14:textId="7962552C"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s’assure à cet effet que les contrats de sous-traitance comportent les clauses nécessaires au respect de ces obligations, et fournira les contrats à l’</w:t>
      </w:r>
      <w:r w:rsidR="00590216">
        <w:rPr>
          <w:rFonts w:ascii="Arial Narrow" w:hAnsi="Arial Narrow"/>
        </w:rPr>
        <w:t>EPMO-VGE</w:t>
      </w:r>
      <w:r w:rsidRPr="00F30726">
        <w:rPr>
          <w:rFonts w:ascii="Arial Narrow" w:hAnsi="Arial Narrow"/>
        </w:rPr>
        <w:t xml:space="preserve"> si celui-ci en demande la communication, notamment à l’occasion des demandes d’acceptation de sous-traitants. </w:t>
      </w:r>
    </w:p>
    <w:p w14:paraId="6C661F39" w14:textId="4B1DCEDE"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veille à permettre à tout usager ou agent de l’</w:t>
      </w:r>
      <w:r w:rsidR="00590216">
        <w:rPr>
          <w:rFonts w:ascii="Arial Narrow" w:hAnsi="Arial Narrow"/>
        </w:rPr>
        <w:t>EPMO-VGE</w:t>
      </w:r>
      <w:r w:rsidRPr="00F30726">
        <w:rPr>
          <w:rFonts w:ascii="Arial Narrow" w:hAnsi="Arial Narrow"/>
        </w:rPr>
        <w:t xml:space="preserve"> de signaler tout manquement aux principes d’égalité, de neutralité et de laïcité constaté au cours de l’exécution du marché.  </w:t>
      </w:r>
    </w:p>
    <w:p w14:paraId="24C8B20A" w14:textId="251CA550"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L’</w:t>
      </w:r>
      <w:r w:rsidR="00590216">
        <w:rPr>
          <w:rFonts w:ascii="Arial Narrow" w:hAnsi="Arial Narrow"/>
        </w:rPr>
        <w:t>EPMO-VGE</w:t>
      </w:r>
      <w:r w:rsidRPr="00F30726">
        <w:rPr>
          <w:rFonts w:ascii="Arial Narrow" w:hAnsi="Arial Narrow"/>
        </w:rPr>
        <w:t xml:space="preserve"> informe le titulaire, ou est informé par le titulaire sans délai de tout manquement à ces principes. Le titulaire informe l’</w:t>
      </w:r>
      <w:r w:rsidR="00590216">
        <w:rPr>
          <w:rFonts w:ascii="Arial Narrow" w:hAnsi="Arial Narrow"/>
        </w:rPr>
        <w:t>EPMO-VGE</w:t>
      </w:r>
      <w:r w:rsidRPr="00F30726">
        <w:rPr>
          <w:rFonts w:ascii="Arial Narrow" w:hAnsi="Arial Narrow"/>
        </w:rPr>
        <w:t xml:space="preserve"> des mesures prises pour y remédier. </w:t>
      </w:r>
    </w:p>
    <w:p w14:paraId="4262E580" w14:textId="77FDF20D"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doit être en mesure de fournir à l’</w:t>
      </w:r>
      <w:r w:rsidR="00590216">
        <w:rPr>
          <w:rFonts w:ascii="Arial Narrow" w:hAnsi="Arial Narrow"/>
        </w:rPr>
        <w:t>EPMO-VGE</w:t>
      </w:r>
      <w:r w:rsidRPr="00F30726">
        <w:rPr>
          <w:rFonts w:ascii="Arial Narrow" w:hAnsi="Arial Narrow"/>
        </w:rPr>
        <w:t xml:space="preserve"> tout document ou outil de suivi des mesures destinées à assurer l’application des principes de laïcité et de neutralité. </w:t>
      </w:r>
    </w:p>
    <w:p w14:paraId="670B3E5B" w14:textId="7FAD970F" w:rsidR="00CF6C06" w:rsidRPr="00F30726" w:rsidRDefault="00CF6C06" w:rsidP="00CF6C06">
      <w:pPr>
        <w:pStyle w:val="En-tte"/>
        <w:numPr>
          <w:ilvl w:val="0"/>
          <w:numId w:val="20"/>
        </w:numPr>
        <w:tabs>
          <w:tab w:val="center" w:pos="284"/>
        </w:tabs>
        <w:spacing w:after="120" w:line="360" w:lineRule="auto"/>
        <w:ind w:left="0" w:hanging="11"/>
        <w:jc w:val="both"/>
        <w:rPr>
          <w:rFonts w:ascii="Arial Narrow" w:hAnsi="Arial Narrow"/>
        </w:rPr>
      </w:pPr>
      <w:r w:rsidRPr="00F30726">
        <w:rPr>
          <w:rFonts w:ascii="Arial Narrow" w:hAnsi="Arial Narrow"/>
        </w:rPr>
        <w:t>En cas de constat de non-respect des obligations mentionnées ci-dessus, l’</w:t>
      </w:r>
      <w:r w:rsidR="00590216">
        <w:rPr>
          <w:rFonts w:ascii="Arial Narrow" w:hAnsi="Arial Narrow"/>
        </w:rPr>
        <w:t>EPMO-VGE</w:t>
      </w:r>
      <w:r w:rsidRPr="00F30726">
        <w:rPr>
          <w:rFonts w:ascii="Arial Narrow" w:hAnsi="Arial Narrow"/>
        </w:rPr>
        <w:t xml:space="preserve"> prononce : </w:t>
      </w:r>
    </w:p>
    <w:p w14:paraId="3564279D" w14:textId="77777777" w:rsidR="00CF6C06" w:rsidRPr="00F30726" w:rsidRDefault="00CF6C06" w:rsidP="00DB4712">
      <w:pPr>
        <w:pStyle w:val="En-tte"/>
        <w:numPr>
          <w:ilvl w:val="0"/>
          <w:numId w:val="13"/>
        </w:numPr>
        <w:spacing w:after="120" w:line="360" w:lineRule="auto"/>
        <w:ind w:left="284" w:hanging="284"/>
        <w:jc w:val="both"/>
        <w:rPr>
          <w:rFonts w:ascii="Arial Narrow" w:hAnsi="Arial Narrow"/>
        </w:rPr>
      </w:pPr>
      <w:r w:rsidRPr="00F30726">
        <w:rPr>
          <w:rFonts w:ascii="Arial Narrow" w:hAnsi="Arial Narrow"/>
        </w:rPr>
        <w:t>une pénalité forfaitaire d’un montant de 500 €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5E5083DB" w14:textId="77777777" w:rsidR="00CF6C06" w:rsidRPr="00F30726" w:rsidRDefault="00CF6C06" w:rsidP="00DB4712">
      <w:pPr>
        <w:pStyle w:val="En-tte"/>
        <w:numPr>
          <w:ilvl w:val="0"/>
          <w:numId w:val="13"/>
        </w:numPr>
        <w:spacing w:after="120" w:line="360" w:lineRule="auto"/>
        <w:ind w:left="284" w:hanging="284"/>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forfaitaire de 250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51DF4FE2" w14:textId="77777777" w:rsidR="00CF6C06" w:rsidRPr="00F30726" w:rsidRDefault="00CF6C06" w:rsidP="00DB4712">
      <w:pPr>
        <w:pStyle w:val="En-tte"/>
        <w:numPr>
          <w:ilvl w:val="0"/>
          <w:numId w:val="13"/>
        </w:numPr>
        <w:tabs>
          <w:tab w:val="center" w:pos="284"/>
        </w:tabs>
        <w:spacing w:after="120" w:line="360" w:lineRule="auto"/>
        <w:ind w:left="284"/>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de 50€ par jour de retard, après expiration d’un délai de trois (3) jours ouvrés à compter de la date de réception de la mise en demeure de produire les documents de suivi mentionnés au point 4 du présent article ;</w:t>
      </w:r>
    </w:p>
    <w:p w14:paraId="7F087D72" w14:textId="77777777" w:rsidR="00CF6C06" w:rsidRPr="00F30726" w:rsidRDefault="00CF6C06" w:rsidP="00CF6C06">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03C17148" w14:textId="474D737E" w:rsidR="00CF6C06" w:rsidRDefault="00CF6C06" w:rsidP="00DB4712">
      <w:pPr>
        <w:pStyle w:val="En-tte"/>
        <w:tabs>
          <w:tab w:val="center" w:pos="284"/>
        </w:tabs>
        <w:spacing w:line="360" w:lineRule="auto"/>
        <w:jc w:val="both"/>
        <w:rPr>
          <w:rFonts w:ascii="Arial Narrow" w:hAnsi="Arial Narrow"/>
        </w:rPr>
      </w:pPr>
      <w:r w:rsidRPr="00F30726">
        <w:rPr>
          <w:rFonts w:ascii="Arial Narrow" w:hAnsi="Arial Narrow"/>
        </w:rPr>
        <w:t xml:space="preserve">Par ailleurs, en cas de </w:t>
      </w:r>
      <w:r>
        <w:rPr>
          <w:rFonts w:ascii="Arial Narrow" w:hAnsi="Arial Narrow"/>
        </w:rPr>
        <w:t>cinq (</w:t>
      </w:r>
      <w:r w:rsidRPr="004E09FE">
        <w:rPr>
          <w:rFonts w:ascii="Arial Narrow" w:hAnsi="Arial Narrow"/>
        </w:rPr>
        <w:t>5</w:t>
      </w:r>
      <w:r>
        <w:rPr>
          <w:rFonts w:ascii="Arial Narrow" w:hAnsi="Arial Narrow"/>
        </w:rPr>
        <w:t>)</w:t>
      </w:r>
      <w:r w:rsidRPr="004E09FE">
        <w:rPr>
          <w:rFonts w:ascii="Arial Narrow" w:hAnsi="Arial Narrow"/>
        </w:rPr>
        <w:t xml:space="preserve"> </w:t>
      </w:r>
      <w:r w:rsidRPr="00F30726">
        <w:rPr>
          <w:rFonts w:ascii="Arial Narrow" w:hAnsi="Arial Narrow"/>
        </w:rPr>
        <w:t xml:space="preserve">manquements ou d’un manquement d’une </w:t>
      </w:r>
      <w:r>
        <w:rPr>
          <w:rFonts w:ascii="Arial Narrow" w:hAnsi="Arial Narrow"/>
        </w:rPr>
        <w:t>particulière gravité, l’</w:t>
      </w:r>
      <w:r w:rsidR="00590216">
        <w:rPr>
          <w:rFonts w:ascii="Arial Narrow" w:hAnsi="Arial Narrow"/>
        </w:rPr>
        <w:t>EPMO-VGE</w:t>
      </w:r>
      <w:r w:rsidRPr="00F30726">
        <w:rPr>
          <w:rFonts w:ascii="Arial Narrow" w:hAnsi="Arial Narrow"/>
        </w:rPr>
        <w:t xml:space="preserve"> prononce la résiliation du contrat pour faute du titulaire, selon les modalités défin</w:t>
      </w:r>
      <w:r w:rsidR="00DD3949">
        <w:rPr>
          <w:rFonts w:ascii="Arial Narrow" w:hAnsi="Arial Narrow"/>
        </w:rPr>
        <w:t>ies à l’article 41.1 du CCAG-FCS</w:t>
      </w:r>
      <w:r w:rsidRPr="00F30726">
        <w:rPr>
          <w:rFonts w:ascii="Arial Narrow" w:hAnsi="Arial Narrow"/>
        </w:rPr>
        <w:t>. L’</w:t>
      </w:r>
      <w:r w:rsidR="00590216">
        <w:rPr>
          <w:rFonts w:ascii="Arial Narrow" w:hAnsi="Arial Narrow"/>
        </w:rPr>
        <w:t>EPMO-VGE</w:t>
      </w:r>
      <w:r w:rsidRPr="00F30726">
        <w:rPr>
          <w:rFonts w:ascii="Arial Narrow" w:hAnsi="Arial Narrow"/>
        </w:rPr>
        <w:t xml:space="preserve"> notifie au préalable une mise en demeure au titulaire afin de l’informer de la sanction envisagée, et lui demande de présenter ses observations dans un délai qui ne saurait être inférieur </w:t>
      </w:r>
      <w:r>
        <w:rPr>
          <w:rFonts w:ascii="Arial Narrow" w:hAnsi="Arial Narrow"/>
        </w:rPr>
        <w:t>à quinze (</w:t>
      </w:r>
      <w:r w:rsidRPr="004E09FE">
        <w:rPr>
          <w:rFonts w:ascii="Arial Narrow" w:hAnsi="Arial Narrow"/>
        </w:rPr>
        <w:t>15</w:t>
      </w:r>
      <w:r>
        <w:rPr>
          <w:rFonts w:ascii="Arial Narrow" w:hAnsi="Arial Narrow"/>
        </w:rPr>
        <w:t>)</w:t>
      </w:r>
      <w:r w:rsidRPr="004E09FE">
        <w:rPr>
          <w:rFonts w:ascii="Arial Narrow" w:hAnsi="Arial Narrow"/>
        </w:rPr>
        <w:t xml:space="preserve"> jours </w:t>
      </w:r>
      <w:r w:rsidRPr="00F30726">
        <w:rPr>
          <w:rFonts w:ascii="Arial Narrow" w:hAnsi="Arial Narrow"/>
        </w:rPr>
        <w:t xml:space="preserve">calendaires à compter de la réception du courrier de mise en demeure. Si cette mise en demeure s’avère infructueuse, </w:t>
      </w:r>
      <w:r>
        <w:rPr>
          <w:rFonts w:ascii="Arial Narrow" w:hAnsi="Arial Narrow"/>
        </w:rPr>
        <w:t>l’</w:t>
      </w:r>
      <w:r w:rsidR="00590216">
        <w:rPr>
          <w:rFonts w:ascii="Arial Narrow" w:hAnsi="Arial Narrow"/>
        </w:rPr>
        <w:t>EPMO-</w:t>
      </w:r>
      <w:r w:rsidR="00590216">
        <w:rPr>
          <w:rFonts w:ascii="Arial Narrow" w:hAnsi="Arial Narrow"/>
        </w:rPr>
        <w:lastRenderedPageBreak/>
        <w:t>VGE</w:t>
      </w:r>
      <w:r w:rsidRPr="00F30726">
        <w:rPr>
          <w:rFonts w:ascii="Arial Narrow" w:hAnsi="Arial Narrow"/>
        </w:rPr>
        <w:t xml:space="preserve"> prononce la résiliation pour faute du contrat. La résiliation est prononcée aux frais et risques du titulaire conformément à l’article </w:t>
      </w:r>
      <w:r w:rsidR="00DD3949">
        <w:rPr>
          <w:rFonts w:ascii="Arial Narrow" w:hAnsi="Arial Narrow"/>
        </w:rPr>
        <w:t>41.1</w:t>
      </w:r>
      <w:r w:rsidRPr="00F30726">
        <w:rPr>
          <w:rFonts w:ascii="Arial Narrow" w:hAnsi="Arial Narrow"/>
        </w:rPr>
        <w:t xml:space="preserve"> du CCAG-</w:t>
      </w:r>
      <w:r w:rsidR="00DD3949">
        <w:rPr>
          <w:rFonts w:ascii="Arial Narrow" w:hAnsi="Arial Narrow"/>
        </w:rPr>
        <w:t>FCS</w:t>
      </w:r>
      <w:r w:rsidRPr="00F30726">
        <w:rPr>
          <w:rFonts w:ascii="Arial Narrow" w:hAnsi="Arial Narrow"/>
        </w:rPr>
        <w:t xml:space="preserve">. Ces sanctions contractuelles sont sans préjudice des sanctions pénales qui seraient prononcées suite à une plainte émanant d’un usager ou d’un tiers et visant </w:t>
      </w:r>
      <w:r>
        <w:rPr>
          <w:rFonts w:ascii="Arial Narrow" w:hAnsi="Arial Narrow"/>
        </w:rPr>
        <w:t>le</w:t>
      </w:r>
      <w:r w:rsidRPr="00F30726">
        <w:rPr>
          <w:rFonts w:ascii="Arial Narrow" w:hAnsi="Arial Narrow"/>
        </w:rPr>
        <w:t xml:space="preserve"> titulaire ou l’un de ses préposés en lien avec des faits de discrimination tels que définis par les articles 225-1 et suivants du code pénal.</w:t>
      </w:r>
    </w:p>
    <w:p w14:paraId="30809576" w14:textId="77777777" w:rsidR="00AD439B" w:rsidRPr="00546FE0" w:rsidRDefault="00AD439B"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31197474"/>
      <w:r w:rsidRPr="00546FE0">
        <w:rPr>
          <w:rFonts w:ascii="Arial Narrow" w:hAnsi="Arial Narrow"/>
          <w:b/>
        </w:rPr>
        <w:t>LITIGE ET RESILIATION</w:t>
      </w:r>
      <w:bookmarkEnd w:id="1"/>
    </w:p>
    <w:p w14:paraId="2B62768F" w14:textId="3205FD05" w:rsidR="00AD439B" w:rsidRPr="00546FE0" w:rsidRDefault="00E41FB9" w:rsidP="00E41FB9">
      <w:pPr>
        <w:pStyle w:val="En-tte"/>
        <w:numPr>
          <w:ilvl w:val="1"/>
          <w:numId w:val="30"/>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AD439B" w:rsidRPr="00546FE0">
        <w:rPr>
          <w:rFonts w:ascii="Arial Narrow" w:hAnsi="Arial Narrow"/>
          <w:b/>
        </w:rPr>
        <w:t>Litige</w:t>
      </w:r>
    </w:p>
    <w:p w14:paraId="7B6B0318" w14:textId="4365E2D8"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Le représentant de l’</w:t>
      </w:r>
      <w:r w:rsidR="00590216">
        <w:rPr>
          <w:rFonts w:ascii="Arial Narrow" w:hAnsi="Arial Narrow"/>
        </w:rPr>
        <w:t>EPMO-VGE</w:t>
      </w:r>
      <w:r w:rsidRPr="00546FE0">
        <w:rPr>
          <w:rFonts w:ascii="Arial Narrow" w:hAnsi="Arial Narrow"/>
        </w:rPr>
        <w:t xml:space="preserve"> se réserve la faculté de régler à l’amiable tout différent éventuel relatif à l’interprétation des stipulations du marché ou à l’exécution des prestations. Dans ce cadre, il sera fait application de l’article 46 du CCAG-FCS.</w:t>
      </w:r>
    </w:p>
    <w:p w14:paraId="70A35AE5" w14:textId="53D7181C" w:rsidR="003E1B5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0A37D72D" w14:textId="5D0B4522" w:rsidR="00AD439B" w:rsidRPr="00546FE0" w:rsidRDefault="00E41FB9" w:rsidP="00E41FB9">
      <w:pPr>
        <w:pStyle w:val="En-tte"/>
        <w:numPr>
          <w:ilvl w:val="1"/>
          <w:numId w:val="30"/>
        </w:numPr>
        <w:tabs>
          <w:tab w:val="clear" w:pos="4536"/>
          <w:tab w:val="clear" w:pos="9072"/>
        </w:tabs>
        <w:spacing w:after="240" w:line="360" w:lineRule="auto"/>
        <w:jc w:val="both"/>
        <w:rPr>
          <w:rFonts w:ascii="Arial Narrow" w:hAnsi="Arial Narrow"/>
          <w:b/>
        </w:rPr>
      </w:pPr>
      <w:r>
        <w:rPr>
          <w:rFonts w:ascii="Arial Narrow" w:hAnsi="Arial Narrow"/>
          <w:b/>
        </w:rPr>
        <w:t xml:space="preserve"> </w:t>
      </w:r>
      <w:r w:rsidR="00AD439B" w:rsidRPr="00546FE0">
        <w:rPr>
          <w:rFonts w:ascii="Arial Narrow" w:hAnsi="Arial Narrow"/>
          <w:b/>
        </w:rPr>
        <w:t>Résiliation</w:t>
      </w:r>
    </w:p>
    <w:p w14:paraId="751F40D4" w14:textId="56EBE850" w:rsidR="0030192B" w:rsidRDefault="00AD439B" w:rsidP="00886290">
      <w:pPr>
        <w:pStyle w:val="En-tte"/>
        <w:spacing w:after="120" w:line="360" w:lineRule="auto"/>
        <w:jc w:val="both"/>
        <w:rPr>
          <w:rFonts w:ascii="Arial Narrow" w:hAnsi="Arial Narrow"/>
        </w:rPr>
      </w:pPr>
      <w:r w:rsidRPr="00546FE0">
        <w:rPr>
          <w:rFonts w:ascii="Arial Narrow" w:hAnsi="Arial Narrow"/>
        </w:rPr>
        <w:t>L'</w:t>
      </w:r>
      <w:r w:rsidR="00590216">
        <w:rPr>
          <w:rFonts w:ascii="Arial Narrow" w:hAnsi="Arial Narrow"/>
        </w:rPr>
        <w:t>EPMO-VGE</w:t>
      </w:r>
      <w:r w:rsidRPr="00546FE0">
        <w:rPr>
          <w:rFonts w:ascii="Arial Narrow" w:hAnsi="Arial Narrow"/>
        </w:rPr>
        <w:t xml:space="preserve"> se réserve la faculté de résilier le présent </w:t>
      </w:r>
      <w:r w:rsidR="00886290">
        <w:rPr>
          <w:rFonts w:ascii="Arial Narrow" w:hAnsi="Arial Narrow"/>
        </w:rPr>
        <w:t>accord-cadre</w:t>
      </w:r>
      <w:r w:rsidRPr="00546FE0">
        <w:rPr>
          <w:rFonts w:ascii="Arial Narrow" w:hAnsi="Arial Narrow"/>
        </w:rPr>
        <w:t xml:space="preserve"> dans les conditions prévues au chapitre 7 du CCAG-FCS</w:t>
      </w:r>
    </w:p>
    <w:p w14:paraId="54A224D4" w14:textId="4B9BFC11" w:rsidR="00810325" w:rsidRDefault="0030192B" w:rsidP="00DB4712">
      <w:pPr>
        <w:pStyle w:val="En-tte"/>
        <w:spacing w:after="120" w:line="360" w:lineRule="auto"/>
        <w:jc w:val="both"/>
        <w:rPr>
          <w:rFonts w:ascii="Arial Narrow" w:hAnsi="Arial Narrow"/>
        </w:rPr>
      </w:pPr>
      <w:r>
        <w:rPr>
          <w:rFonts w:ascii="Arial Narrow" w:hAnsi="Arial Narrow"/>
        </w:rPr>
        <w:t>Par dérogation au chapitre 7 du CCAG-FCS,</w:t>
      </w:r>
      <w:r w:rsidR="00886290">
        <w:rPr>
          <w:rFonts w:ascii="Arial Narrow" w:hAnsi="Arial Narrow"/>
        </w:rPr>
        <w:t xml:space="preserve"> l’EPMO-VGE se réserve également la faculté de résilier l’accord-cadre e</w:t>
      </w:r>
      <w:r>
        <w:rPr>
          <w:rFonts w:ascii="Arial Narrow" w:hAnsi="Arial Narrow"/>
        </w:rPr>
        <w:t>n cas d’absence répétée d’offres pour les marchés subséquents</w:t>
      </w:r>
      <w:r w:rsidR="00AD439B" w:rsidRPr="00546FE0">
        <w:rPr>
          <w:rFonts w:ascii="Arial Narrow" w:hAnsi="Arial Narrow"/>
        </w:rPr>
        <w:t>.</w:t>
      </w:r>
    </w:p>
    <w:p w14:paraId="6EEB1420" w14:textId="77777777" w:rsidR="00810325" w:rsidRPr="00546FE0" w:rsidRDefault="00810325" w:rsidP="00AD439B">
      <w:pPr>
        <w:pStyle w:val="En-tte"/>
        <w:spacing w:after="120" w:line="360" w:lineRule="auto"/>
        <w:rPr>
          <w:rFonts w:ascii="Arial Narrow" w:hAnsi="Arial Narrow"/>
        </w:rPr>
      </w:pPr>
    </w:p>
    <w:p w14:paraId="5AF39788" w14:textId="77777777" w:rsidR="00AD439B" w:rsidRPr="00D20371"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2" w:name="_Toc31197476"/>
      <w:r w:rsidRPr="00D20371">
        <w:rPr>
          <w:rFonts w:ascii="Arial Narrow" w:hAnsi="Arial Narrow"/>
          <w:b/>
        </w:rPr>
        <w:t>DEROGATIONS AUX DOCUMENTS GÉNÉRAUX</w:t>
      </w:r>
      <w:bookmarkEnd w:id="2"/>
      <w:r w:rsidRPr="00D20371">
        <w:rPr>
          <w:rFonts w:ascii="Arial Narrow" w:hAnsi="Arial Narrow"/>
          <w:b/>
        </w:rPr>
        <w:t xml:space="preserve"> </w:t>
      </w:r>
    </w:p>
    <w:p w14:paraId="4E0928D4" w14:textId="33FE2334" w:rsidR="00165639" w:rsidRDefault="00165639" w:rsidP="00165639">
      <w:pPr>
        <w:pStyle w:val="En-tte"/>
        <w:spacing w:after="120" w:line="360" w:lineRule="auto"/>
        <w:jc w:val="both"/>
        <w:rPr>
          <w:rFonts w:ascii="Arial Narrow" w:hAnsi="Arial Narrow"/>
        </w:rPr>
      </w:pPr>
      <w:r w:rsidRPr="00546FE0">
        <w:rPr>
          <w:rFonts w:ascii="Arial Narrow" w:hAnsi="Arial Narrow"/>
        </w:rPr>
        <w:t>L'article 14</w:t>
      </w:r>
      <w:r w:rsidR="00AD439B" w:rsidRPr="00546FE0">
        <w:rPr>
          <w:rFonts w:ascii="Arial Narrow" w:hAnsi="Arial Narrow"/>
        </w:rPr>
        <w:t xml:space="preserve"> (pénalités) du présent document déroge </w:t>
      </w:r>
      <w:r w:rsidRPr="00546FE0">
        <w:rPr>
          <w:rFonts w:ascii="Arial Narrow" w:hAnsi="Arial Narrow"/>
        </w:rPr>
        <w:t>au 2</w:t>
      </w:r>
      <w:r w:rsidRPr="00546FE0">
        <w:rPr>
          <w:rFonts w:ascii="Arial Narrow" w:hAnsi="Arial Narrow"/>
          <w:vertAlign w:val="superscript"/>
        </w:rPr>
        <w:t>ème</w:t>
      </w:r>
      <w:r w:rsidRPr="00546FE0">
        <w:rPr>
          <w:rFonts w:ascii="Arial Narrow" w:hAnsi="Arial Narrow"/>
        </w:rPr>
        <w:t xml:space="preserve"> alinéa de l’article 14.1.1 et à l’article 14.1.3 du CCAG-FCS.</w:t>
      </w:r>
    </w:p>
    <w:p w14:paraId="1A5FA54A" w14:textId="2E5012BC" w:rsidR="00886290" w:rsidRDefault="00886290" w:rsidP="00886290">
      <w:pPr>
        <w:pStyle w:val="En-tte"/>
        <w:spacing w:after="120" w:line="360" w:lineRule="auto"/>
        <w:jc w:val="both"/>
        <w:rPr>
          <w:rFonts w:ascii="Arial Narrow" w:hAnsi="Arial Narrow"/>
        </w:rPr>
      </w:pPr>
      <w:r>
        <w:rPr>
          <w:rFonts w:ascii="Arial Narrow" w:hAnsi="Arial Narrow"/>
        </w:rPr>
        <w:t>L'article 17.2</w:t>
      </w:r>
      <w:r w:rsidRPr="00546FE0">
        <w:rPr>
          <w:rFonts w:ascii="Arial Narrow" w:hAnsi="Arial Narrow"/>
        </w:rPr>
        <w:t xml:space="preserve"> (</w:t>
      </w:r>
      <w:r>
        <w:rPr>
          <w:rFonts w:ascii="Arial Narrow" w:hAnsi="Arial Narrow"/>
        </w:rPr>
        <w:t>résiliation</w:t>
      </w:r>
      <w:r w:rsidRPr="00546FE0">
        <w:rPr>
          <w:rFonts w:ascii="Arial Narrow" w:hAnsi="Arial Narrow"/>
        </w:rPr>
        <w:t xml:space="preserve">) du présent document déroge </w:t>
      </w:r>
      <w:r w:rsidR="00847F3E">
        <w:rPr>
          <w:rFonts w:ascii="Arial Narrow" w:hAnsi="Arial Narrow"/>
        </w:rPr>
        <w:t xml:space="preserve">au </w:t>
      </w:r>
      <w:r>
        <w:rPr>
          <w:rFonts w:ascii="Arial Narrow" w:hAnsi="Arial Narrow"/>
        </w:rPr>
        <w:t>chapitre 7</w:t>
      </w:r>
      <w:r w:rsidRPr="00546FE0">
        <w:rPr>
          <w:rFonts w:ascii="Arial Narrow" w:hAnsi="Arial Narrow"/>
        </w:rPr>
        <w:t xml:space="preserve"> du CCAG-FCS.</w:t>
      </w:r>
    </w:p>
    <w:p w14:paraId="5070207C" w14:textId="28D4A423" w:rsidR="00AD439B" w:rsidRPr="00546FE0" w:rsidRDefault="00AD439B" w:rsidP="00DB4712">
      <w:pPr>
        <w:pStyle w:val="En-tte"/>
        <w:spacing w:after="120" w:line="360" w:lineRule="auto"/>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1"/>
      <w:headerReference w:type="first" r:id="rId12"/>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BF52E" w14:textId="77777777" w:rsidR="00470284" w:rsidRDefault="00470284" w:rsidP="00E42FF3">
      <w:pPr>
        <w:spacing w:after="0" w:line="240" w:lineRule="auto"/>
      </w:pPr>
      <w:r>
        <w:separator/>
      </w:r>
    </w:p>
  </w:endnote>
  <w:endnote w:type="continuationSeparator" w:id="0">
    <w:p w14:paraId="0CF3F88F" w14:textId="77777777" w:rsidR="00470284" w:rsidRDefault="00470284"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473D4DBE" w:rsidR="004A157C" w:rsidRDefault="004A157C">
        <w:pPr>
          <w:pStyle w:val="Pieddepage"/>
          <w:jc w:val="right"/>
        </w:pPr>
        <w:r>
          <w:fldChar w:fldCharType="begin"/>
        </w:r>
        <w:r>
          <w:instrText>PAGE   \* MERGEFORMAT</w:instrText>
        </w:r>
        <w:r>
          <w:fldChar w:fldCharType="separate"/>
        </w:r>
        <w:r w:rsidR="005E4979">
          <w:rPr>
            <w:noProof/>
          </w:rPr>
          <w:t>15</w:t>
        </w:r>
        <w:r>
          <w:fldChar w:fldCharType="end"/>
        </w:r>
      </w:p>
    </w:sdtContent>
  </w:sdt>
  <w:p w14:paraId="1C416107" w14:textId="77777777" w:rsidR="004A157C" w:rsidRDefault="004A15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E4EA3" w14:textId="77777777" w:rsidR="00470284" w:rsidRDefault="00470284" w:rsidP="00E42FF3">
      <w:pPr>
        <w:spacing w:after="0" w:line="240" w:lineRule="auto"/>
      </w:pPr>
      <w:r>
        <w:separator/>
      </w:r>
    </w:p>
  </w:footnote>
  <w:footnote w:type="continuationSeparator" w:id="0">
    <w:p w14:paraId="271F3637" w14:textId="77777777" w:rsidR="00470284" w:rsidRDefault="00470284"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5"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06"/>
    </w:tblGrid>
    <w:tr w:rsidR="003D506C" w14:paraId="6AAD0E44" w14:textId="77777777" w:rsidTr="00C17976">
      <w:tc>
        <w:tcPr>
          <w:tcW w:w="10207" w:type="dxa"/>
        </w:tcPr>
        <w:tbl>
          <w:tblPr>
            <w:tblStyle w:val="Grilledutableau"/>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5"/>
            <w:gridCol w:w="7765"/>
          </w:tblGrid>
          <w:tr w:rsidR="003D506C" w14:paraId="0FAC30A0" w14:textId="77777777" w:rsidTr="00C17976">
            <w:tc>
              <w:tcPr>
                <w:tcW w:w="2725" w:type="dxa"/>
              </w:tcPr>
              <w:p w14:paraId="7FB81A5E" w14:textId="77777777" w:rsidR="003D506C" w:rsidRDefault="003D506C" w:rsidP="003D506C">
                <w:pPr>
                  <w:pStyle w:val="En-tte"/>
                </w:pPr>
              </w:p>
            </w:tc>
            <w:tc>
              <w:tcPr>
                <w:tcW w:w="7765" w:type="dxa"/>
              </w:tcPr>
              <w:p w14:paraId="54D87924" w14:textId="75D60C72" w:rsidR="003D506C" w:rsidRDefault="003D506C" w:rsidP="003D506C">
                <w:pPr>
                  <w:widowControl w:val="0"/>
                  <w:spacing w:after="200" w:line="276" w:lineRule="auto"/>
                  <w:contextualSpacing/>
                  <w:jc w:val="right"/>
                </w:pPr>
              </w:p>
            </w:tc>
          </w:tr>
        </w:tbl>
        <w:p w14:paraId="5BD215BB" w14:textId="2FA86FBF" w:rsidR="003D506C" w:rsidRDefault="003D506C" w:rsidP="003D506C">
          <w:pPr>
            <w:pStyle w:val="En-tte"/>
          </w:pPr>
          <w:r>
            <w:rPr>
              <w:noProof/>
              <w:lang w:eastAsia="fr-FR"/>
            </w:rPr>
            <w:drawing>
              <wp:anchor distT="3600450" distB="0" distL="114300" distR="114300" simplePos="0" relativeHeight="251659264" behindDoc="0" locked="0" layoutInCell="1" allowOverlap="1" wp14:anchorId="0C093A52" wp14:editId="4A2247CF">
                <wp:simplePos x="0" y="0"/>
                <wp:positionH relativeFrom="page">
                  <wp:posOffset>5593044</wp:posOffset>
                </wp:positionH>
                <wp:positionV relativeFrom="topMargin">
                  <wp:posOffset>-68688</wp:posOffset>
                </wp:positionV>
                <wp:extent cx="1154396" cy="643556"/>
                <wp:effectExtent l="0" t="0" r="0" b="0"/>
                <wp:wrapNone/>
                <wp:docPr id="348368217" name="Graphiqu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711696" name="Graphique 465711696"/>
                        <pic:cNvPicPr/>
                      </pic:nvPicPr>
                      <pic:blipFill rotWithShape="1">
                        <a:blip r:embed="rId1">
                          <a:extLst>
                            <a:ext uri="{28A0092B-C50C-407E-A947-70E740481C1C}">
                              <a14:useLocalDpi xmlns:a14="http://schemas.microsoft.com/office/drawing/2010/main" val="0"/>
                            </a:ext>
                            <a:ext uri="{96DAC541-7B7A-43D3-8B79-37D633B846F1}">
                              <asvg:svgBlip xmlns:asvg="http://schemas.microsoft.com/office/drawing/2016/SVG/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xmlns:arto="http://schemas.microsoft.com/office/word/2006/arto" r:embed="rId3"/>
                            </a:ext>
                          </a:extLst>
                        </a:blip>
                        <a:srcRect l="77253" t="4297" r="1572" b="69644"/>
                        <a:stretch/>
                      </pic:blipFill>
                      <pic:spPr bwMode="auto">
                        <a:xfrm>
                          <a:off x="0" y="0"/>
                          <a:ext cx="1154396" cy="64355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60288" behindDoc="0" locked="0" layoutInCell="1" allowOverlap="1" wp14:anchorId="33590366" wp14:editId="5A606CB2">
                <wp:simplePos x="0" y="0"/>
                <wp:positionH relativeFrom="margin">
                  <wp:posOffset>-166406</wp:posOffset>
                </wp:positionH>
                <wp:positionV relativeFrom="margin">
                  <wp:posOffset>-100809</wp:posOffset>
                </wp:positionV>
                <wp:extent cx="1818000" cy="8208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a:extLst>
                            <a:ext uri="{28A0092B-C50C-407E-A947-70E740481C1C}">
                              <a14:useLocalDpi xmlns:a14="http://schemas.microsoft.com/office/drawing/2010/main" val="0"/>
                            </a:ext>
                          </a:extLst>
                        </a:blip>
                        <a:srcRect l="3437" t="7163" r="67286" b="65336"/>
                        <a:stretch/>
                      </pic:blipFill>
                      <pic:spPr bwMode="auto">
                        <a:xfrm>
                          <a:off x="0" y="0"/>
                          <a:ext cx="1818000" cy="8208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5989C33" w14:textId="77777777" w:rsidR="003D506C" w:rsidRDefault="003D506C" w:rsidP="003D506C">
          <w:pPr>
            <w:pStyle w:val="En-tte"/>
            <w:tabs>
              <w:tab w:val="clear" w:pos="4536"/>
              <w:tab w:val="clear" w:pos="9072"/>
              <w:tab w:val="left" w:pos="4635"/>
            </w:tabs>
          </w:pPr>
        </w:p>
      </w:tc>
    </w:tr>
  </w:tbl>
  <w:p w14:paraId="79DED19F" w14:textId="77777777" w:rsidR="004A157C" w:rsidRDefault="004A157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A52726C"/>
    <w:multiLevelType w:val="hybridMultilevel"/>
    <w:tmpl w:val="81140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135949"/>
    <w:multiLevelType w:val="hybridMultilevel"/>
    <w:tmpl w:val="FF2E3446"/>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4234FF5"/>
    <w:multiLevelType w:val="hybridMultilevel"/>
    <w:tmpl w:val="FDAAEE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C513CEC"/>
    <w:multiLevelType w:val="hybridMultilevel"/>
    <w:tmpl w:val="44FAB83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EFD2576"/>
    <w:multiLevelType w:val="multilevel"/>
    <w:tmpl w:val="11847CD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F0312BC"/>
    <w:multiLevelType w:val="multilevel"/>
    <w:tmpl w:val="D3120D9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261474E"/>
    <w:multiLevelType w:val="hybridMultilevel"/>
    <w:tmpl w:val="CDB0831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AE330CF"/>
    <w:multiLevelType w:val="multilevel"/>
    <w:tmpl w:val="4F1EC72C"/>
    <w:lvl w:ilvl="0">
      <w:start w:val="1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317DCE"/>
    <w:multiLevelType w:val="hybridMultilevel"/>
    <w:tmpl w:val="9B3A8E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14" w15:restartNumberingAfterBreak="0">
    <w:nsid w:val="41F2337A"/>
    <w:multiLevelType w:val="hybridMultilevel"/>
    <w:tmpl w:val="243688E6"/>
    <w:lvl w:ilvl="0" w:tplc="173A495A">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3746AB1"/>
    <w:multiLevelType w:val="hybridMultilevel"/>
    <w:tmpl w:val="10CA867A"/>
    <w:lvl w:ilvl="0" w:tplc="5D1C6018">
      <w:start w:val="1"/>
      <w:numFmt w:val="decimal"/>
      <w:lvlText w:val="1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5B3195C"/>
    <w:multiLevelType w:val="hybridMultilevel"/>
    <w:tmpl w:val="2D0C99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473C13E8"/>
    <w:multiLevelType w:val="multilevel"/>
    <w:tmpl w:val="D0F6F29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97A1451"/>
    <w:multiLevelType w:val="hybridMultilevel"/>
    <w:tmpl w:val="4406099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3" w15:restartNumberingAfterBreak="0">
    <w:nsid w:val="4EA009EA"/>
    <w:multiLevelType w:val="hybridMultilevel"/>
    <w:tmpl w:val="B8D8E718"/>
    <w:lvl w:ilvl="0" w:tplc="8F92545E">
      <w:start w:val="1"/>
      <w:numFmt w:val="decimal"/>
      <w:lvlText w:val="1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78C6A9D"/>
    <w:multiLevelType w:val="multilevel"/>
    <w:tmpl w:val="11847CD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7C669A2"/>
    <w:multiLevelType w:val="hybridMultilevel"/>
    <w:tmpl w:val="695EAE74"/>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B55597F"/>
    <w:multiLevelType w:val="multilevel"/>
    <w:tmpl w:val="4002E85A"/>
    <w:lvl w:ilvl="0">
      <w:start w:val="1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C7D5839"/>
    <w:multiLevelType w:val="hybridMultilevel"/>
    <w:tmpl w:val="86B2E0A6"/>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54D6C34"/>
    <w:multiLevelType w:val="multilevel"/>
    <w:tmpl w:val="AB489690"/>
    <w:lvl w:ilvl="0">
      <w:start w:val="1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9DC34DD"/>
    <w:multiLevelType w:val="hybridMultilevel"/>
    <w:tmpl w:val="21541030"/>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3"/>
  </w:num>
  <w:num w:numId="2">
    <w:abstractNumId w:val="4"/>
  </w:num>
  <w:num w:numId="3">
    <w:abstractNumId w:val="27"/>
  </w:num>
  <w:num w:numId="4">
    <w:abstractNumId w:val="8"/>
  </w:num>
  <w:num w:numId="5">
    <w:abstractNumId w:val="16"/>
  </w:num>
  <w:num w:numId="6">
    <w:abstractNumId w:val="2"/>
  </w:num>
  <w:num w:numId="7">
    <w:abstractNumId w:val="25"/>
  </w:num>
  <w:num w:numId="8">
    <w:abstractNumId w:val="17"/>
  </w:num>
  <w:num w:numId="9">
    <w:abstractNumId w:val="13"/>
  </w:num>
  <w:num w:numId="10">
    <w:abstractNumId w:val="22"/>
  </w:num>
  <w:num w:numId="11">
    <w:abstractNumId w:val="3"/>
  </w:num>
  <w:num w:numId="12">
    <w:abstractNumId w:val="24"/>
  </w:num>
  <w:num w:numId="13">
    <w:abstractNumId w:val="19"/>
  </w:num>
  <w:num w:numId="14">
    <w:abstractNumId w:val="14"/>
  </w:num>
  <w:num w:numId="15">
    <w:abstractNumId w:val="23"/>
  </w:num>
  <w:num w:numId="16">
    <w:abstractNumId w:val="34"/>
  </w:num>
  <w:num w:numId="17">
    <w:abstractNumId w:val="9"/>
  </w:num>
  <w:num w:numId="18">
    <w:abstractNumId w:val="28"/>
  </w:num>
  <w:num w:numId="19">
    <w:abstractNumId w:val="15"/>
  </w:num>
  <w:num w:numId="20">
    <w:abstractNumId w:val="12"/>
  </w:num>
  <w:num w:numId="21">
    <w:abstractNumId w:val="29"/>
  </w:num>
  <w:num w:numId="22">
    <w:abstractNumId w:val="18"/>
  </w:num>
  <w:num w:numId="23">
    <w:abstractNumId w:val="0"/>
  </w:num>
  <w:num w:numId="24">
    <w:abstractNumId w:val="5"/>
  </w:num>
  <w:num w:numId="25">
    <w:abstractNumId w:val="7"/>
  </w:num>
  <w:num w:numId="26">
    <w:abstractNumId w:val="6"/>
  </w:num>
  <w:num w:numId="27">
    <w:abstractNumId w:val="20"/>
  </w:num>
  <w:num w:numId="28">
    <w:abstractNumId w:val="11"/>
  </w:num>
  <w:num w:numId="29">
    <w:abstractNumId w:val="32"/>
  </w:num>
  <w:num w:numId="30">
    <w:abstractNumId w:val="30"/>
  </w:num>
  <w:num w:numId="31">
    <w:abstractNumId w:val="10"/>
  </w:num>
  <w:num w:numId="32">
    <w:abstractNumId w:val="31"/>
  </w:num>
  <w:num w:numId="33">
    <w:abstractNumId w:val="1"/>
  </w:num>
  <w:num w:numId="34">
    <w:abstractNumId w:val="21"/>
  </w:num>
  <w:num w:numId="35">
    <w:abstractNumId w:val="2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43D85"/>
    <w:rsid w:val="00054FBE"/>
    <w:rsid w:val="0006022E"/>
    <w:rsid w:val="00063209"/>
    <w:rsid w:val="00085A6E"/>
    <w:rsid w:val="000B34BB"/>
    <w:rsid w:val="000B3B70"/>
    <w:rsid w:val="000B52E8"/>
    <w:rsid w:val="000B7422"/>
    <w:rsid w:val="000C10A2"/>
    <w:rsid w:val="000D0217"/>
    <w:rsid w:val="000D23B1"/>
    <w:rsid w:val="000D317C"/>
    <w:rsid w:val="000D622D"/>
    <w:rsid w:val="000D6D69"/>
    <w:rsid w:val="000E7740"/>
    <w:rsid w:val="00106DDC"/>
    <w:rsid w:val="00122915"/>
    <w:rsid w:val="0014540C"/>
    <w:rsid w:val="001526C8"/>
    <w:rsid w:val="00165639"/>
    <w:rsid w:val="0016785C"/>
    <w:rsid w:val="00167FE9"/>
    <w:rsid w:val="00171B00"/>
    <w:rsid w:val="00172EC3"/>
    <w:rsid w:val="00180990"/>
    <w:rsid w:val="001A1B0D"/>
    <w:rsid w:val="001B44CB"/>
    <w:rsid w:val="001D7A97"/>
    <w:rsid w:val="001F6E69"/>
    <w:rsid w:val="0024335F"/>
    <w:rsid w:val="00245388"/>
    <w:rsid w:val="00247EE3"/>
    <w:rsid w:val="00247F75"/>
    <w:rsid w:val="0025246C"/>
    <w:rsid w:val="00257918"/>
    <w:rsid w:val="00261EEE"/>
    <w:rsid w:val="00264E15"/>
    <w:rsid w:val="002724FC"/>
    <w:rsid w:val="00292015"/>
    <w:rsid w:val="00297716"/>
    <w:rsid w:val="002A271C"/>
    <w:rsid w:val="002B10AD"/>
    <w:rsid w:val="002C5191"/>
    <w:rsid w:val="002D6143"/>
    <w:rsid w:val="002F4374"/>
    <w:rsid w:val="0030192B"/>
    <w:rsid w:val="0030422B"/>
    <w:rsid w:val="00314364"/>
    <w:rsid w:val="00332820"/>
    <w:rsid w:val="0034181B"/>
    <w:rsid w:val="00347265"/>
    <w:rsid w:val="00350E5F"/>
    <w:rsid w:val="00360E50"/>
    <w:rsid w:val="00367714"/>
    <w:rsid w:val="003765CC"/>
    <w:rsid w:val="00376A8E"/>
    <w:rsid w:val="003978C9"/>
    <w:rsid w:val="003A3C44"/>
    <w:rsid w:val="003B775D"/>
    <w:rsid w:val="003D506C"/>
    <w:rsid w:val="003D7C03"/>
    <w:rsid w:val="003E1B5B"/>
    <w:rsid w:val="003F3420"/>
    <w:rsid w:val="003F5F33"/>
    <w:rsid w:val="00403F4D"/>
    <w:rsid w:val="0041504B"/>
    <w:rsid w:val="00422159"/>
    <w:rsid w:val="00426B67"/>
    <w:rsid w:val="004302A7"/>
    <w:rsid w:val="00470284"/>
    <w:rsid w:val="00476011"/>
    <w:rsid w:val="004A157C"/>
    <w:rsid w:val="004C5CF1"/>
    <w:rsid w:val="004D0CF2"/>
    <w:rsid w:val="004D1134"/>
    <w:rsid w:val="004D156F"/>
    <w:rsid w:val="004F429E"/>
    <w:rsid w:val="004F5BCE"/>
    <w:rsid w:val="00533500"/>
    <w:rsid w:val="005413BD"/>
    <w:rsid w:val="00541444"/>
    <w:rsid w:val="0054328C"/>
    <w:rsid w:val="00546FE0"/>
    <w:rsid w:val="005706E9"/>
    <w:rsid w:val="00590216"/>
    <w:rsid w:val="00593CA0"/>
    <w:rsid w:val="005B11C8"/>
    <w:rsid w:val="005D1A2E"/>
    <w:rsid w:val="005D555E"/>
    <w:rsid w:val="005D59A8"/>
    <w:rsid w:val="005E4979"/>
    <w:rsid w:val="005E63A7"/>
    <w:rsid w:val="005F1D51"/>
    <w:rsid w:val="0060390C"/>
    <w:rsid w:val="0064097D"/>
    <w:rsid w:val="00641386"/>
    <w:rsid w:val="006465DC"/>
    <w:rsid w:val="006528A6"/>
    <w:rsid w:val="00666DD5"/>
    <w:rsid w:val="00685F5F"/>
    <w:rsid w:val="006A63E0"/>
    <w:rsid w:val="006F0B57"/>
    <w:rsid w:val="006F33F3"/>
    <w:rsid w:val="007020A8"/>
    <w:rsid w:val="007221BF"/>
    <w:rsid w:val="007258AA"/>
    <w:rsid w:val="00737BEB"/>
    <w:rsid w:val="007639B4"/>
    <w:rsid w:val="007663CD"/>
    <w:rsid w:val="00766C11"/>
    <w:rsid w:val="00770306"/>
    <w:rsid w:val="007C2790"/>
    <w:rsid w:val="007D159B"/>
    <w:rsid w:val="007D6487"/>
    <w:rsid w:val="007E5415"/>
    <w:rsid w:val="007F2E3E"/>
    <w:rsid w:val="007F5514"/>
    <w:rsid w:val="00810325"/>
    <w:rsid w:val="0081396B"/>
    <w:rsid w:val="00836C55"/>
    <w:rsid w:val="00846D60"/>
    <w:rsid w:val="00847F3E"/>
    <w:rsid w:val="00874D6C"/>
    <w:rsid w:val="0088306B"/>
    <w:rsid w:val="0088600A"/>
    <w:rsid w:val="00886290"/>
    <w:rsid w:val="00886A9B"/>
    <w:rsid w:val="00891B1A"/>
    <w:rsid w:val="00891C17"/>
    <w:rsid w:val="00892016"/>
    <w:rsid w:val="008B6960"/>
    <w:rsid w:val="008C6D06"/>
    <w:rsid w:val="00910D6B"/>
    <w:rsid w:val="009122D3"/>
    <w:rsid w:val="00912557"/>
    <w:rsid w:val="009146C4"/>
    <w:rsid w:val="00963E87"/>
    <w:rsid w:val="00980184"/>
    <w:rsid w:val="00983998"/>
    <w:rsid w:val="00990731"/>
    <w:rsid w:val="009907B3"/>
    <w:rsid w:val="009C2143"/>
    <w:rsid w:val="009D0E3A"/>
    <w:rsid w:val="009D63CC"/>
    <w:rsid w:val="009E452F"/>
    <w:rsid w:val="00A02B17"/>
    <w:rsid w:val="00A118F1"/>
    <w:rsid w:val="00A15E81"/>
    <w:rsid w:val="00A572A6"/>
    <w:rsid w:val="00A7568E"/>
    <w:rsid w:val="00A94EDC"/>
    <w:rsid w:val="00AA3E07"/>
    <w:rsid w:val="00AB296F"/>
    <w:rsid w:val="00AD439B"/>
    <w:rsid w:val="00AF4D9D"/>
    <w:rsid w:val="00B16107"/>
    <w:rsid w:val="00B17100"/>
    <w:rsid w:val="00B42ED3"/>
    <w:rsid w:val="00B52B09"/>
    <w:rsid w:val="00B76727"/>
    <w:rsid w:val="00B76C4A"/>
    <w:rsid w:val="00BD6430"/>
    <w:rsid w:val="00C0489A"/>
    <w:rsid w:val="00C17976"/>
    <w:rsid w:val="00C258DB"/>
    <w:rsid w:val="00C37C04"/>
    <w:rsid w:val="00C47AC9"/>
    <w:rsid w:val="00C8474A"/>
    <w:rsid w:val="00C92452"/>
    <w:rsid w:val="00CB64C7"/>
    <w:rsid w:val="00CC09FD"/>
    <w:rsid w:val="00CC5197"/>
    <w:rsid w:val="00CC605C"/>
    <w:rsid w:val="00CC720D"/>
    <w:rsid w:val="00CE4A76"/>
    <w:rsid w:val="00CF6C06"/>
    <w:rsid w:val="00D17E86"/>
    <w:rsid w:val="00D20371"/>
    <w:rsid w:val="00D3246C"/>
    <w:rsid w:val="00D32F62"/>
    <w:rsid w:val="00D331D9"/>
    <w:rsid w:val="00D349F1"/>
    <w:rsid w:val="00D524F5"/>
    <w:rsid w:val="00D61F28"/>
    <w:rsid w:val="00D637C9"/>
    <w:rsid w:val="00D643AF"/>
    <w:rsid w:val="00D72FEE"/>
    <w:rsid w:val="00D86150"/>
    <w:rsid w:val="00D9355E"/>
    <w:rsid w:val="00DA36F0"/>
    <w:rsid w:val="00DB4712"/>
    <w:rsid w:val="00DB777E"/>
    <w:rsid w:val="00DB7A14"/>
    <w:rsid w:val="00DC2412"/>
    <w:rsid w:val="00DC2FA3"/>
    <w:rsid w:val="00DD3949"/>
    <w:rsid w:val="00DF2D5F"/>
    <w:rsid w:val="00E21F80"/>
    <w:rsid w:val="00E41FB9"/>
    <w:rsid w:val="00E42FF3"/>
    <w:rsid w:val="00E44A6B"/>
    <w:rsid w:val="00E46FED"/>
    <w:rsid w:val="00E62B9E"/>
    <w:rsid w:val="00E71777"/>
    <w:rsid w:val="00E86FA0"/>
    <w:rsid w:val="00EA4392"/>
    <w:rsid w:val="00EC2356"/>
    <w:rsid w:val="00EC4999"/>
    <w:rsid w:val="00EC6141"/>
    <w:rsid w:val="00EE1C2C"/>
    <w:rsid w:val="00EE41D9"/>
    <w:rsid w:val="00EE4C36"/>
    <w:rsid w:val="00EE65EC"/>
    <w:rsid w:val="00EF10C6"/>
    <w:rsid w:val="00F00B40"/>
    <w:rsid w:val="00F03BF9"/>
    <w:rsid w:val="00F05DF7"/>
    <w:rsid w:val="00F065F4"/>
    <w:rsid w:val="00F1664C"/>
    <w:rsid w:val="00F6320E"/>
    <w:rsid w:val="00F74527"/>
    <w:rsid w:val="00F802CE"/>
    <w:rsid w:val="00FB04CA"/>
    <w:rsid w:val="00FC4A03"/>
    <w:rsid w:val="00FE25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4753"/>
    <o:shapelayout v:ext="edit">
      <o:idmap v:ext="edit" data="1"/>
    </o:shapelayout>
  </w:shapeDefaults>
  <w:decimalSymbol w:val=","/>
  <w:listSeparator w:val=";"/>
  <w14:docId w14:val="28114232"/>
  <w15:chartTrackingRefBased/>
  <w15:docId w15:val="{D77877CB-A2F0-43C6-BE37-127335198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3">
    <w:name w:val="heading 3"/>
    <w:basedOn w:val="Normal"/>
    <w:next w:val="Normal"/>
    <w:link w:val="Titre3Car"/>
    <w:uiPriority w:val="9"/>
    <w:semiHidden/>
    <w:unhideWhenUsed/>
    <w:qFormat/>
    <w:rsid w:val="009E452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semiHidden/>
    <w:unhideWhenUsed/>
    <w:rsid w:val="00D72FEE"/>
    <w:pPr>
      <w:spacing w:line="240" w:lineRule="auto"/>
    </w:pPr>
    <w:rPr>
      <w:sz w:val="20"/>
      <w:szCs w:val="20"/>
    </w:rPr>
  </w:style>
  <w:style w:type="character" w:customStyle="1" w:styleId="CommentaireCar">
    <w:name w:val="Commentaire Car"/>
    <w:basedOn w:val="Policepardfaut"/>
    <w:link w:val="Commentaire"/>
    <w:uiPriority w:val="99"/>
    <w:semiHidden/>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character" w:styleId="Lienhypertextesuivivisit">
    <w:name w:val="FollowedHyperlink"/>
    <w:basedOn w:val="Policepardfaut"/>
    <w:uiPriority w:val="99"/>
    <w:semiHidden/>
    <w:unhideWhenUsed/>
    <w:rsid w:val="00533500"/>
    <w:rPr>
      <w:color w:val="954F72" w:themeColor="followedHyperlink"/>
      <w:u w:val="single"/>
    </w:rPr>
  </w:style>
  <w:style w:type="paragraph" w:styleId="Notedefin">
    <w:name w:val="endnote text"/>
    <w:basedOn w:val="Normal"/>
    <w:link w:val="NotedefinCar"/>
    <w:uiPriority w:val="99"/>
    <w:semiHidden/>
    <w:unhideWhenUsed/>
    <w:rsid w:val="000D23B1"/>
    <w:pPr>
      <w:spacing w:after="0" w:line="240" w:lineRule="auto"/>
    </w:pPr>
    <w:rPr>
      <w:sz w:val="20"/>
      <w:szCs w:val="20"/>
    </w:rPr>
  </w:style>
  <w:style w:type="character" w:customStyle="1" w:styleId="NotedefinCar">
    <w:name w:val="Note de fin Car"/>
    <w:basedOn w:val="Policepardfaut"/>
    <w:link w:val="Notedefin"/>
    <w:uiPriority w:val="99"/>
    <w:semiHidden/>
    <w:rsid w:val="000D23B1"/>
    <w:rPr>
      <w:sz w:val="20"/>
      <w:szCs w:val="20"/>
    </w:rPr>
  </w:style>
  <w:style w:type="character" w:styleId="Appeldenotedefin">
    <w:name w:val="endnote reference"/>
    <w:basedOn w:val="Policepardfaut"/>
    <w:uiPriority w:val="99"/>
    <w:semiHidden/>
    <w:unhideWhenUsed/>
    <w:rsid w:val="000D23B1"/>
    <w:rPr>
      <w:vertAlign w:val="superscript"/>
    </w:rPr>
  </w:style>
  <w:style w:type="paragraph" w:styleId="Corpsdetexte3">
    <w:name w:val="Body Text 3"/>
    <w:basedOn w:val="Normal"/>
    <w:link w:val="Corpsdetexte3Car"/>
    <w:uiPriority w:val="99"/>
    <w:unhideWhenUsed/>
    <w:rsid w:val="00122915"/>
    <w:pPr>
      <w:jc w:val="center"/>
    </w:pPr>
    <w:rPr>
      <w:rFonts w:ascii="Arial Narrow" w:hAnsi="Arial Narrow"/>
      <w:sz w:val="28"/>
      <w:szCs w:val="28"/>
    </w:rPr>
  </w:style>
  <w:style w:type="character" w:customStyle="1" w:styleId="Corpsdetexte3Car">
    <w:name w:val="Corps de texte 3 Car"/>
    <w:basedOn w:val="Policepardfaut"/>
    <w:link w:val="Corpsdetexte3"/>
    <w:uiPriority w:val="99"/>
    <w:rsid w:val="00122915"/>
    <w:rPr>
      <w:rFonts w:ascii="Arial Narrow" w:hAnsi="Arial Narrow"/>
      <w:sz w:val="28"/>
      <w:szCs w:val="28"/>
    </w:rPr>
  </w:style>
  <w:style w:type="paragraph" w:customStyle="1" w:styleId="Default">
    <w:name w:val="Default"/>
    <w:rsid w:val="00D20371"/>
    <w:pPr>
      <w:autoSpaceDE w:val="0"/>
      <w:autoSpaceDN w:val="0"/>
      <w:adjustRightInd w:val="0"/>
      <w:spacing w:after="0" w:line="240" w:lineRule="auto"/>
    </w:pPr>
    <w:rPr>
      <w:rFonts w:ascii="Calibri" w:hAnsi="Calibri" w:cs="Calibri"/>
      <w:color w:val="000000"/>
      <w:sz w:val="24"/>
      <w:szCs w:val="24"/>
    </w:rPr>
  </w:style>
  <w:style w:type="character" w:customStyle="1" w:styleId="Titre3Car">
    <w:name w:val="Titre 3 Car"/>
    <w:basedOn w:val="Policepardfaut"/>
    <w:link w:val="Titre3"/>
    <w:uiPriority w:val="9"/>
    <w:semiHidden/>
    <w:rsid w:val="009E452F"/>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666394">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963389203">
      <w:bodyDiv w:val="1"/>
      <w:marLeft w:val="0"/>
      <w:marRight w:val="0"/>
      <w:marTop w:val="0"/>
      <w:marBottom w:val="0"/>
      <w:divBdr>
        <w:top w:val="none" w:sz="0" w:space="0" w:color="auto"/>
        <w:left w:val="none" w:sz="0" w:space="0" w:color="auto"/>
        <w:bottom w:val="none" w:sz="0" w:space="0" w:color="auto"/>
        <w:right w:val="none" w:sz="0" w:space="0" w:color="auto"/>
      </w:divBdr>
    </w:div>
    <w:div w:id="1235117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attestations.com/" TargetMode="External"/><Relationship Id="rId4" Type="http://schemas.openxmlformats.org/officeDocument/2006/relationships/settings" Target="settings.xml"/><Relationship Id="rId9" Type="http://schemas.openxmlformats.org/officeDocument/2006/relationships/hyperlink" Target="https://www.legifrance.gouv.fr/affichCodeArticle.do?idArticle=LEGIARTI000018520576&amp;cidTexte=LEGITEXT000006072050"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5A3E7F"/>
    <w:rsid w:val="0066558F"/>
    <w:rsid w:val="00864732"/>
    <w:rsid w:val="009E2391"/>
    <w:rsid w:val="00AC31B5"/>
    <w:rsid w:val="00B14DD2"/>
    <w:rsid w:val="00B90D7C"/>
    <w:rsid w:val="00C60EC9"/>
    <w:rsid w:val="00CB08D0"/>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8622E7-9A42-4F45-B944-2BB78A225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1441</TotalTime>
  <Pages>15</Pages>
  <Words>5123</Words>
  <Characters>28178</Characters>
  <Application>Microsoft Office Word</Application>
  <DocSecurity>0</DocSecurity>
  <Lines>234</Lines>
  <Paragraphs>66</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33235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PAQUI Loane</cp:lastModifiedBy>
  <cp:revision>35</cp:revision>
  <dcterms:created xsi:type="dcterms:W3CDTF">2022-08-19T08:05:00Z</dcterms:created>
  <dcterms:modified xsi:type="dcterms:W3CDTF">2025-10-03T13:43:00Z</dcterms:modified>
</cp:coreProperties>
</file>